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E4946" w14:textId="77777777" w:rsidR="009841A6" w:rsidRPr="009841A6" w:rsidRDefault="009841A6" w:rsidP="009841A6">
      <w:pPr>
        <w:rPr>
          <w:b/>
          <w:bCs/>
        </w:rPr>
      </w:pPr>
      <w:r w:rsidRPr="009841A6">
        <w:rPr>
          <w:b/>
          <w:bCs/>
        </w:rPr>
        <w:t>ERP Implementation Risk Assessment Checklist for Internal Auditors</w:t>
      </w:r>
    </w:p>
    <w:p w14:paraId="3F8DC471" w14:textId="77777777" w:rsidR="009841A6" w:rsidRPr="009841A6" w:rsidRDefault="009841A6" w:rsidP="009841A6">
      <w:pPr>
        <w:rPr>
          <w:b/>
          <w:bCs/>
        </w:rPr>
      </w:pPr>
      <w:r w:rsidRPr="009841A6">
        <w:rPr>
          <w:b/>
          <w:bCs/>
        </w:rPr>
        <w:t>(Pre-Work/Planning Phase)</w:t>
      </w:r>
    </w:p>
    <w:p w14:paraId="10B988A6" w14:textId="77777777" w:rsidR="004F2847" w:rsidRDefault="004F2847" w:rsidP="004621FE">
      <w:pPr>
        <w:spacing w:before="120" w:after="120"/>
      </w:pPr>
      <w:r w:rsidRPr="004F2847">
        <w:rPr>
          <w:b/>
          <w:bCs/>
        </w:rPr>
        <w:t>Purpose/Scope:</w:t>
      </w:r>
      <w:r>
        <w:t xml:space="preserve"> </w:t>
      </w:r>
      <w:r w:rsidR="009841A6" w:rsidRPr="009841A6">
        <w:t xml:space="preserve">This checklist is designed for Internal Auditors to assess risks during the Pre-Work/Planning phase of an ERP system implementation. It helps </w:t>
      </w:r>
      <w:r w:rsidR="00FF4970">
        <w:t>to verify</w:t>
      </w:r>
      <w:r w:rsidR="009841A6" w:rsidRPr="009841A6">
        <w:t xml:space="preserve"> that governance structures, risk management strategies, and compliance frameworks are in place before moving to the design and development stages.</w:t>
      </w:r>
      <w:r w:rsidR="00FF4970">
        <w:t xml:space="preserve"> </w:t>
      </w:r>
    </w:p>
    <w:p w14:paraId="63ED76A3" w14:textId="248D07D6" w:rsidR="00317B13" w:rsidRPr="007D7080" w:rsidRDefault="00317B13" w:rsidP="004621FE">
      <w:pPr>
        <w:spacing w:before="120" w:after="120"/>
        <w:rPr>
          <w:color w:val="0070C0"/>
        </w:rPr>
      </w:pPr>
      <w:r w:rsidRPr="00C22447">
        <w:rPr>
          <w:b/>
          <w:bCs/>
        </w:rPr>
        <w:t>Source</w:t>
      </w:r>
      <w:r>
        <w:t xml:space="preserve">: </w:t>
      </w:r>
      <w:r w:rsidR="007D7080" w:rsidRPr="007D7080">
        <w:rPr>
          <w:color w:val="0070C0"/>
        </w:rPr>
        <w:t>[CITE SOURCES HERE (E.G. INTERVIEWEES, DOCUMENTS REVIEWED, ETC.]</w:t>
      </w:r>
    </w:p>
    <w:p w14:paraId="27ED2FB2" w14:textId="77777777" w:rsidR="00317B13" w:rsidRDefault="00317B13" w:rsidP="004621FE">
      <w:pPr>
        <w:spacing w:before="120" w:after="120"/>
      </w:pPr>
      <w:r w:rsidRPr="00C22447">
        <w:rPr>
          <w:b/>
          <w:bCs/>
        </w:rPr>
        <w:t>Procedures</w:t>
      </w:r>
      <w:r>
        <w:t xml:space="preserve">: </w:t>
      </w:r>
    </w:p>
    <w:p w14:paraId="514B8965" w14:textId="77777777" w:rsidR="00317B13" w:rsidRDefault="00317B13" w:rsidP="004621FE">
      <w:pPr>
        <w:pStyle w:val="ListParagraph"/>
        <w:numPr>
          <w:ilvl w:val="0"/>
          <w:numId w:val="11"/>
        </w:numPr>
        <w:spacing w:before="120" w:after="120"/>
      </w:pPr>
      <w:r>
        <w:t xml:space="preserve">Assign a risk level to each component to provide context and help prioritize any noted gaps or weaknesses. </w:t>
      </w:r>
    </w:p>
    <w:p w14:paraId="59E2B757" w14:textId="77777777" w:rsidR="00317B13" w:rsidRDefault="00317B13" w:rsidP="004621FE">
      <w:pPr>
        <w:pStyle w:val="ListParagraph"/>
        <w:numPr>
          <w:ilvl w:val="0"/>
          <w:numId w:val="11"/>
        </w:numPr>
        <w:spacing w:before="120" w:after="120"/>
      </w:pPr>
      <w:r>
        <w:t xml:space="preserve">Indicate whether management has met, not met, or partially met the criteria for each component. </w:t>
      </w:r>
    </w:p>
    <w:p w14:paraId="69A061AA" w14:textId="77777777" w:rsidR="00317B13" w:rsidRDefault="00317B13" w:rsidP="004621FE">
      <w:pPr>
        <w:pStyle w:val="ListParagraph"/>
        <w:numPr>
          <w:ilvl w:val="0"/>
          <w:numId w:val="11"/>
        </w:numPr>
        <w:spacing w:before="120" w:after="120"/>
      </w:pPr>
      <w:r>
        <w:t xml:space="preserve">If a component is not applicable, indicate “NA” in the Yes column. </w:t>
      </w:r>
    </w:p>
    <w:p w14:paraId="48CFA786" w14:textId="77777777" w:rsidR="00317B13" w:rsidRPr="005E3D1F" w:rsidRDefault="00317B13" w:rsidP="004621FE">
      <w:pPr>
        <w:pStyle w:val="ListParagraph"/>
        <w:numPr>
          <w:ilvl w:val="0"/>
          <w:numId w:val="11"/>
        </w:numPr>
        <w:spacing w:before="120" w:after="120"/>
      </w:pPr>
      <w:r w:rsidRPr="005E3D1F">
        <w:t xml:space="preserve">Maintain </w:t>
      </w:r>
      <w:r>
        <w:t xml:space="preserve">this </w:t>
      </w:r>
      <w:r w:rsidRPr="005E3D1F">
        <w:t>record for regulatory and compliance audits.</w:t>
      </w:r>
    </w:p>
    <w:p w14:paraId="6DDF9C8B" w14:textId="77777777" w:rsidR="00317B13" w:rsidRDefault="00317B13" w:rsidP="004621FE">
      <w:pPr>
        <w:spacing w:before="120" w:after="120"/>
        <w:rPr>
          <w:b/>
          <w:bCs/>
        </w:rPr>
      </w:pPr>
      <w:r>
        <w:rPr>
          <w:b/>
          <w:bCs/>
        </w:rPr>
        <w:t xml:space="preserve">Conclusion: </w:t>
      </w:r>
    </w:p>
    <w:p w14:paraId="20722A95" w14:textId="53997540" w:rsidR="009841A6" w:rsidRPr="007D7080" w:rsidRDefault="007D7080" w:rsidP="009841A6">
      <w:pPr>
        <w:rPr>
          <w:color w:val="0070C0"/>
        </w:rPr>
      </w:pPr>
      <w:r w:rsidRPr="007D7080">
        <w:rPr>
          <w:color w:val="0070C0"/>
        </w:rPr>
        <w:t>[PROVIDE AN OVERALL ASSESSMENT HERE BASED ON THE ANSWERS BELOW]</w:t>
      </w:r>
    </w:p>
    <w:p w14:paraId="0FFF10E1" w14:textId="77777777" w:rsidR="004621FE" w:rsidRDefault="004621FE" w:rsidP="009841A6"/>
    <w:p w14:paraId="2E7A038D" w14:textId="77777777" w:rsidR="004621FE" w:rsidRDefault="004621FE" w:rsidP="009841A6"/>
    <w:p w14:paraId="0EE8E0E5" w14:textId="77777777" w:rsidR="009841A6" w:rsidRPr="009841A6" w:rsidRDefault="009841A6" w:rsidP="009841A6">
      <w:r w:rsidRPr="009841A6">
        <w:rPr>
          <w:b/>
          <w:bCs/>
        </w:rPr>
        <w:t>Risk Levels:</w:t>
      </w:r>
      <w:r w:rsidRPr="009841A6">
        <w:br/>
      </w:r>
      <w:r w:rsidRPr="009841A6">
        <w:rPr>
          <w:rFonts w:ascii="Segoe UI Emoji" w:hAnsi="Segoe UI Emoji" w:cs="Segoe UI Emoji"/>
        </w:rPr>
        <w:t>🔴</w:t>
      </w:r>
      <w:r w:rsidRPr="009841A6">
        <w:t xml:space="preserve"> </w:t>
      </w:r>
      <w:r w:rsidRPr="009841A6">
        <w:rPr>
          <w:b/>
          <w:bCs/>
        </w:rPr>
        <w:t>High Risk</w:t>
      </w:r>
      <w:r w:rsidRPr="009841A6">
        <w:t xml:space="preserve"> – Requires immediate mitigation before proceeding to the next phase.</w:t>
      </w:r>
      <w:r w:rsidRPr="009841A6">
        <w:br/>
      </w:r>
      <w:r w:rsidRPr="009841A6">
        <w:rPr>
          <w:rFonts w:ascii="Segoe UI Emoji" w:hAnsi="Segoe UI Emoji" w:cs="Segoe UI Emoji"/>
        </w:rPr>
        <w:t>🟠</w:t>
      </w:r>
      <w:r w:rsidRPr="009841A6">
        <w:t xml:space="preserve"> </w:t>
      </w:r>
      <w:r w:rsidRPr="009841A6">
        <w:rPr>
          <w:b/>
          <w:bCs/>
        </w:rPr>
        <w:t>Moderate Risk</w:t>
      </w:r>
      <w:r w:rsidRPr="009841A6">
        <w:t xml:space="preserve"> – Needs monitoring and mitigation strategies to reduce exposure.</w:t>
      </w:r>
      <w:r w:rsidRPr="009841A6">
        <w:br/>
      </w:r>
      <w:r w:rsidRPr="009841A6">
        <w:rPr>
          <w:rFonts w:ascii="Segoe UI Emoji" w:hAnsi="Segoe UI Emoji" w:cs="Segoe UI Emoji"/>
        </w:rPr>
        <w:t>🟢</w:t>
      </w:r>
      <w:r w:rsidRPr="009841A6">
        <w:t xml:space="preserve"> </w:t>
      </w:r>
      <w:r w:rsidRPr="009841A6">
        <w:rPr>
          <w:b/>
          <w:bCs/>
        </w:rPr>
        <w:t>Low Risk</w:t>
      </w:r>
      <w:r w:rsidRPr="009841A6">
        <w:t xml:space="preserve"> – Adequate controls in place; proceed with implementation.</w:t>
      </w:r>
    </w:p>
    <w:p w14:paraId="4601E926" w14:textId="77777777" w:rsidR="009841A6" w:rsidRDefault="009841A6" w:rsidP="009841A6"/>
    <w:p w14:paraId="68794214" w14:textId="77777777" w:rsidR="009841A6" w:rsidRPr="009841A6" w:rsidRDefault="009841A6" w:rsidP="009841A6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001"/>
        <w:gridCol w:w="653"/>
        <w:gridCol w:w="656"/>
        <w:gridCol w:w="656"/>
        <w:gridCol w:w="656"/>
        <w:gridCol w:w="7048"/>
      </w:tblGrid>
      <w:tr w:rsidR="00A84193" w:rsidRPr="009841A6" w14:paraId="350A3A0C" w14:textId="3A81B568" w:rsidTr="00EE0BAF">
        <w:trPr>
          <w:tblHeader/>
        </w:trPr>
        <w:tc>
          <w:tcPr>
            <w:tcW w:w="1463" w:type="pct"/>
            <w:shd w:val="clear" w:color="auto" w:fill="DDD9C3" w:themeFill="background2" w:themeFillShade="E6"/>
          </w:tcPr>
          <w:p w14:paraId="4E09BCA7" w14:textId="031BE89B" w:rsidR="00A84193" w:rsidRPr="00C83649" w:rsidRDefault="00A84193" w:rsidP="00E8524B">
            <w:pPr>
              <w:spacing w:before="120" w:after="120"/>
              <w:rPr>
                <w:b/>
                <w:bCs/>
                <w:sz w:val="16"/>
                <w:szCs w:val="18"/>
              </w:rPr>
            </w:pPr>
            <w:r w:rsidRPr="00C83649">
              <w:rPr>
                <w:b/>
                <w:bCs/>
                <w:sz w:val="16"/>
                <w:szCs w:val="18"/>
              </w:rPr>
              <w:t>ERP Component</w:t>
            </w:r>
          </w:p>
        </w:tc>
        <w:tc>
          <w:tcPr>
            <w:tcW w:w="239" w:type="pct"/>
            <w:shd w:val="clear" w:color="auto" w:fill="DDD9C3" w:themeFill="background2" w:themeFillShade="E6"/>
          </w:tcPr>
          <w:p w14:paraId="66973EF0" w14:textId="2C0D10FC" w:rsidR="00A84193" w:rsidRPr="00A84193" w:rsidRDefault="00A84193" w:rsidP="00E8524B">
            <w:pPr>
              <w:spacing w:before="120" w:after="120"/>
              <w:jc w:val="center"/>
              <w:rPr>
                <w:b/>
                <w:bCs/>
                <w:sz w:val="14"/>
                <w:szCs w:val="16"/>
              </w:rPr>
            </w:pPr>
            <w:r w:rsidRPr="00A84193">
              <w:rPr>
                <w:b/>
                <w:bCs/>
                <w:sz w:val="14"/>
                <w:szCs w:val="16"/>
              </w:rPr>
              <w:t>Risk</w:t>
            </w:r>
          </w:p>
        </w:tc>
        <w:tc>
          <w:tcPr>
            <w:tcW w:w="240" w:type="pct"/>
            <w:shd w:val="clear" w:color="auto" w:fill="DDD9C3" w:themeFill="background2" w:themeFillShade="E6"/>
          </w:tcPr>
          <w:p w14:paraId="53566915" w14:textId="678785D5" w:rsidR="00A84193" w:rsidRPr="00A84193" w:rsidRDefault="00A84193" w:rsidP="00E8524B">
            <w:pPr>
              <w:spacing w:before="120" w:after="120"/>
              <w:jc w:val="center"/>
              <w:rPr>
                <w:b/>
                <w:bCs/>
                <w:sz w:val="14"/>
                <w:szCs w:val="16"/>
              </w:rPr>
            </w:pPr>
            <w:r w:rsidRPr="00A84193">
              <w:rPr>
                <w:b/>
                <w:bCs/>
                <w:sz w:val="14"/>
                <w:szCs w:val="16"/>
              </w:rPr>
              <w:t>Yes</w:t>
            </w:r>
          </w:p>
        </w:tc>
        <w:tc>
          <w:tcPr>
            <w:tcW w:w="240" w:type="pct"/>
            <w:shd w:val="clear" w:color="auto" w:fill="DDD9C3" w:themeFill="background2" w:themeFillShade="E6"/>
          </w:tcPr>
          <w:p w14:paraId="03DA7E82" w14:textId="06167504" w:rsidR="00A84193" w:rsidRPr="00A84193" w:rsidRDefault="00A84193" w:rsidP="00E8524B">
            <w:pPr>
              <w:spacing w:before="120" w:after="120"/>
              <w:jc w:val="center"/>
              <w:rPr>
                <w:b/>
                <w:bCs/>
                <w:sz w:val="14"/>
                <w:szCs w:val="16"/>
              </w:rPr>
            </w:pPr>
            <w:r w:rsidRPr="00A84193">
              <w:rPr>
                <w:b/>
                <w:bCs/>
                <w:sz w:val="14"/>
                <w:szCs w:val="16"/>
              </w:rPr>
              <w:t>No</w:t>
            </w:r>
          </w:p>
        </w:tc>
        <w:tc>
          <w:tcPr>
            <w:tcW w:w="240" w:type="pct"/>
            <w:shd w:val="clear" w:color="auto" w:fill="DDD9C3" w:themeFill="background2" w:themeFillShade="E6"/>
          </w:tcPr>
          <w:p w14:paraId="4F52F8FE" w14:textId="018CAFB7" w:rsidR="00A84193" w:rsidRPr="00A84193" w:rsidRDefault="00A84193" w:rsidP="00E8524B">
            <w:pPr>
              <w:spacing w:before="120" w:after="120"/>
              <w:jc w:val="center"/>
              <w:rPr>
                <w:b/>
                <w:bCs/>
                <w:sz w:val="14"/>
                <w:szCs w:val="16"/>
              </w:rPr>
            </w:pPr>
            <w:r w:rsidRPr="00A84193">
              <w:rPr>
                <w:b/>
                <w:bCs/>
                <w:sz w:val="14"/>
                <w:szCs w:val="16"/>
              </w:rPr>
              <w:t>Partial</w:t>
            </w:r>
          </w:p>
        </w:tc>
        <w:tc>
          <w:tcPr>
            <w:tcW w:w="2578" w:type="pct"/>
            <w:shd w:val="clear" w:color="auto" w:fill="DDD9C3" w:themeFill="background2" w:themeFillShade="E6"/>
          </w:tcPr>
          <w:p w14:paraId="1D1928D5" w14:textId="3854EBCB" w:rsidR="00A84193" w:rsidRDefault="00A84193" w:rsidP="00E8524B">
            <w:pPr>
              <w:spacing w:before="120" w:after="120"/>
              <w:jc w:val="center"/>
              <w:rPr>
                <w:b/>
                <w:bCs/>
              </w:rPr>
            </w:pPr>
            <w:r w:rsidRPr="00C83649">
              <w:rPr>
                <w:b/>
                <w:bCs/>
                <w:sz w:val="16"/>
                <w:szCs w:val="18"/>
              </w:rPr>
              <w:t>Comments</w:t>
            </w:r>
          </w:p>
        </w:tc>
      </w:tr>
      <w:tr w:rsidR="0045191D" w:rsidRPr="009841A6" w14:paraId="6439746F" w14:textId="030C69C7" w:rsidTr="00EE0BAF">
        <w:tc>
          <w:tcPr>
            <w:tcW w:w="5000" w:type="pct"/>
            <w:gridSpan w:val="6"/>
            <w:shd w:val="clear" w:color="auto" w:fill="002060"/>
          </w:tcPr>
          <w:p w14:paraId="0E42AFCB" w14:textId="163CE9BC" w:rsidR="0045191D" w:rsidRPr="007C4EFF" w:rsidRDefault="0045191D" w:rsidP="00E8524B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b/>
                <w:bCs/>
              </w:rPr>
            </w:pPr>
            <w:r w:rsidRPr="007C4EFF">
              <w:rPr>
                <w:b/>
                <w:bCs/>
              </w:rPr>
              <w:t>Governance &amp; Project Oversight Risks</w:t>
            </w:r>
          </w:p>
        </w:tc>
      </w:tr>
      <w:tr w:rsidR="00A84193" w:rsidRPr="009841A6" w14:paraId="7D6CD75D" w14:textId="0FAEEF55" w:rsidTr="00E17029">
        <w:tc>
          <w:tcPr>
            <w:tcW w:w="1463" w:type="pct"/>
          </w:tcPr>
          <w:p w14:paraId="0B34A364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Has a formal project governance framework been established, including an executive steering committee?</w:t>
            </w:r>
          </w:p>
        </w:tc>
        <w:tc>
          <w:tcPr>
            <w:tcW w:w="239" w:type="pct"/>
          </w:tcPr>
          <w:p w14:paraId="705A6E4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465861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633506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6A34E9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452056B0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33C4A524" w14:textId="7F5778B0" w:rsidTr="00E17029">
        <w:tc>
          <w:tcPr>
            <w:tcW w:w="1463" w:type="pct"/>
          </w:tcPr>
          <w:p w14:paraId="538F1926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key stakeholders (IT, Finance, HR, Compliance, Procurement) actively engaged in the project?</w:t>
            </w:r>
          </w:p>
        </w:tc>
        <w:tc>
          <w:tcPr>
            <w:tcW w:w="239" w:type="pct"/>
          </w:tcPr>
          <w:p w14:paraId="72006C6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A87B5A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7A4590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517614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59BDF631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126C50DE" w14:textId="4EF178EC" w:rsidTr="00E17029">
        <w:tc>
          <w:tcPr>
            <w:tcW w:w="1463" w:type="pct"/>
          </w:tcPr>
          <w:p w14:paraId="1A0023DB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 xml:space="preserve">Has the organization clearly defined roles and responsibilities for project </w:t>
            </w:r>
            <w:r w:rsidRPr="009841A6">
              <w:lastRenderedPageBreak/>
              <w:t>team members, including Internal Audit’s advisory role?</w:t>
            </w:r>
          </w:p>
        </w:tc>
        <w:tc>
          <w:tcPr>
            <w:tcW w:w="239" w:type="pct"/>
          </w:tcPr>
          <w:p w14:paraId="3F3E672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3BF028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767ED6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B40038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20B8D0B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6D50528B" w14:textId="0795D484" w:rsidTr="00E17029">
        <w:tc>
          <w:tcPr>
            <w:tcW w:w="1463" w:type="pct"/>
          </w:tcPr>
          <w:p w14:paraId="606712FD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Is there a detailed project plan with well-defined milestones, deliverables, and timelines?</w:t>
            </w:r>
          </w:p>
        </w:tc>
        <w:tc>
          <w:tcPr>
            <w:tcW w:w="239" w:type="pct"/>
          </w:tcPr>
          <w:p w14:paraId="628BB02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8239E6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ADE01C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DF9273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1A06893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4722D1C7" w14:textId="4B92B350" w:rsidTr="00E17029">
        <w:tc>
          <w:tcPr>
            <w:tcW w:w="1463" w:type="pct"/>
          </w:tcPr>
          <w:p w14:paraId="3D7B8825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project risks documented in a risk register, with mitigation strategies assigned?</w:t>
            </w:r>
          </w:p>
        </w:tc>
        <w:tc>
          <w:tcPr>
            <w:tcW w:w="239" w:type="pct"/>
          </w:tcPr>
          <w:p w14:paraId="363DC26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80A68B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DE9CDF0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6B5C372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55F5CED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4AEEB3D8" w14:textId="3BD1105B" w:rsidTr="00E17029">
        <w:tc>
          <w:tcPr>
            <w:tcW w:w="1463" w:type="pct"/>
          </w:tcPr>
          <w:p w14:paraId="1DD68D12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Has a change management strategy been developed to manage organizational resistance?</w:t>
            </w:r>
          </w:p>
        </w:tc>
        <w:tc>
          <w:tcPr>
            <w:tcW w:w="239" w:type="pct"/>
          </w:tcPr>
          <w:p w14:paraId="21F68ADD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9CFECB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A38B82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693DA8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5E6D501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4F08589E" w14:textId="49C6E4D0" w:rsidTr="00E17029">
        <w:tc>
          <w:tcPr>
            <w:tcW w:w="1463" w:type="pct"/>
          </w:tcPr>
          <w:p w14:paraId="42764A2C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Is there a vendor selection and evaluation process in place, including background checks and financial stability assessments?</w:t>
            </w:r>
          </w:p>
        </w:tc>
        <w:tc>
          <w:tcPr>
            <w:tcW w:w="239" w:type="pct"/>
          </w:tcPr>
          <w:p w14:paraId="6FC4696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B2DED9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9D1689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1BB150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6E44CD5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EE0BAF" w:rsidRPr="009841A6" w14:paraId="44489D8B" w14:textId="384761D7" w:rsidTr="007C4EFF">
        <w:tc>
          <w:tcPr>
            <w:tcW w:w="5000" w:type="pct"/>
            <w:gridSpan w:val="6"/>
            <w:shd w:val="clear" w:color="auto" w:fill="002060"/>
          </w:tcPr>
          <w:p w14:paraId="25813446" w14:textId="6E9376BA" w:rsidR="00EE0BAF" w:rsidRPr="007C4EFF" w:rsidRDefault="00EE0BAF" w:rsidP="00E8524B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b/>
                <w:bCs/>
              </w:rPr>
            </w:pPr>
            <w:r w:rsidRPr="007C4EFF">
              <w:rPr>
                <w:b/>
                <w:bCs/>
              </w:rPr>
              <w:t>Business Process Mapping &amp; Change Readiness Risks</w:t>
            </w:r>
          </w:p>
        </w:tc>
      </w:tr>
      <w:tr w:rsidR="00A84193" w:rsidRPr="009841A6" w14:paraId="53F07A93" w14:textId="6AB74E24" w:rsidTr="00E17029">
        <w:tc>
          <w:tcPr>
            <w:tcW w:w="1463" w:type="pct"/>
          </w:tcPr>
          <w:p w14:paraId="30D0C3B3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Have all key business processes (e.g., finance, HR, procurement, student records) been mapped and documented?</w:t>
            </w:r>
          </w:p>
        </w:tc>
        <w:tc>
          <w:tcPr>
            <w:tcW w:w="239" w:type="pct"/>
          </w:tcPr>
          <w:p w14:paraId="2FAB436C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8D8F95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828FC8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C53779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153DA0E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1D8DB1BD" w14:textId="2E1BDCB5" w:rsidTr="00E17029">
        <w:tc>
          <w:tcPr>
            <w:tcW w:w="1463" w:type="pct"/>
          </w:tcPr>
          <w:p w14:paraId="4B9B3D5B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current business processes evaluated for inefficiencies before ERP configuration begins?</w:t>
            </w:r>
          </w:p>
        </w:tc>
        <w:tc>
          <w:tcPr>
            <w:tcW w:w="239" w:type="pct"/>
          </w:tcPr>
          <w:p w14:paraId="1B0976C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FF049B1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8688932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B0426AC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7DEEEA7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7195F72F" w14:textId="21E1B49F" w:rsidTr="00E17029">
        <w:tc>
          <w:tcPr>
            <w:tcW w:w="1463" w:type="pct"/>
          </w:tcPr>
          <w:p w14:paraId="5FE865CB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Is there a formalized plan to standardize business processes where possible, rather than over-customizing the ERP system?</w:t>
            </w:r>
          </w:p>
        </w:tc>
        <w:tc>
          <w:tcPr>
            <w:tcW w:w="239" w:type="pct"/>
          </w:tcPr>
          <w:p w14:paraId="3651CEA0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E62A7F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2ED95B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895256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6ADB00A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15BD35ED" w14:textId="62C415DB" w:rsidTr="00E17029">
        <w:tc>
          <w:tcPr>
            <w:tcW w:w="1463" w:type="pct"/>
          </w:tcPr>
          <w:p w14:paraId="2138A922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lastRenderedPageBreak/>
              <w:t>Are existing workflows being reviewed to eliminate redundant or unnecessary steps before automation?</w:t>
            </w:r>
          </w:p>
        </w:tc>
        <w:tc>
          <w:tcPr>
            <w:tcW w:w="239" w:type="pct"/>
          </w:tcPr>
          <w:p w14:paraId="2C5D789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A0AE13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3F133E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3608E4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178761E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714C87E4" w14:textId="722153C9" w:rsidTr="00E17029">
        <w:tc>
          <w:tcPr>
            <w:tcW w:w="1463" w:type="pct"/>
          </w:tcPr>
          <w:p w14:paraId="16CA7DE5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Has change readiness been assessed among end-users and process owners?</w:t>
            </w:r>
          </w:p>
        </w:tc>
        <w:tc>
          <w:tcPr>
            <w:tcW w:w="239" w:type="pct"/>
          </w:tcPr>
          <w:p w14:paraId="1CEAE84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801DEA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A29B27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AFEEB01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03982AE1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25A7ACDF" w14:textId="14BC9CA3" w:rsidTr="00E17029">
        <w:tc>
          <w:tcPr>
            <w:tcW w:w="1463" w:type="pct"/>
          </w:tcPr>
          <w:p w14:paraId="20061D88" w14:textId="75A9ABFD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 xml:space="preserve">Are there adequate training and communication plans in place to </w:t>
            </w:r>
            <w:r w:rsidR="00521228">
              <w:t>obtain</w:t>
            </w:r>
            <w:r w:rsidRPr="009841A6">
              <w:t xml:space="preserve"> stakeholder buy-in?</w:t>
            </w:r>
          </w:p>
        </w:tc>
        <w:tc>
          <w:tcPr>
            <w:tcW w:w="239" w:type="pct"/>
          </w:tcPr>
          <w:p w14:paraId="13F45B5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BF14A3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06ACE0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2DB747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22D1E0B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EE0BAF" w:rsidRPr="009841A6" w14:paraId="02A01775" w14:textId="5EAB2932" w:rsidTr="007C4EFF">
        <w:tc>
          <w:tcPr>
            <w:tcW w:w="5000" w:type="pct"/>
            <w:gridSpan w:val="6"/>
            <w:shd w:val="clear" w:color="auto" w:fill="002060"/>
          </w:tcPr>
          <w:p w14:paraId="675841B9" w14:textId="02723E1B" w:rsidR="00EE0BAF" w:rsidRPr="007C4EFF" w:rsidRDefault="00EE0BAF" w:rsidP="00E8524B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b/>
                <w:bCs/>
              </w:rPr>
            </w:pPr>
            <w:r w:rsidRPr="007C4EFF">
              <w:rPr>
                <w:b/>
                <w:bCs/>
              </w:rPr>
              <w:t>Data Integrity &amp; Migration Risks</w:t>
            </w:r>
          </w:p>
        </w:tc>
      </w:tr>
      <w:tr w:rsidR="00A84193" w:rsidRPr="009841A6" w14:paraId="599A6402" w14:textId="6E29F164" w:rsidTr="00E17029">
        <w:tc>
          <w:tcPr>
            <w:tcW w:w="1463" w:type="pct"/>
          </w:tcPr>
          <w:p w14:paraId="52B08991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Has a data governance framework been established, including ownership of data across departments?</w:t>
            </w:r>
          </w:p>
        </w:tc>
        <w:tc>
          <w:tcPr>
            <w:tcW w:w="239" w:type="pct"/>
          </w:tcPr>
          <w:p w14:paraId="14EE28F1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726A1A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EAD7A6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957636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5A1E83C2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538BAA81" w14:textId="0DE8DF6E" w:rsidTr="00E17029">
        <w:tc>
          <w:tcPr>
            <w:tcW w:w="1463" w:type="pct"/>
          </w:tcPr>
          <w:p w14:paraId="12FB7387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Is there a strategy for cleansing, standardizing, and de-duplicating legacy data before migration?</w:t>
            </w:r>
          </w:p>
        </w:tc>
        <w:tc>
          <w:tcPr>
            <w:tcW w:w="239" w:type="pct"/>
          </w:tcPr>
          <w:p w14:paraId="549D3B7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B592B6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993610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A9FC31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39D027B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4855755F" w14:textId="1954EACC" w:rsidTr="00E17029">
        <w:tc>
          <w:tcPr>
            <w:tcW w:w="1463" w:type="pct"/>
          </w:tcPr>
          <w:p w14:paraId="3018F400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Have data security and privacy requirements been defined based on regulatory requirements (e.g., GDPR, FERPA, HIPAA)?</w:t>
            </w:r>
          </w:p>
        </w:tc>
        <w:tc>
          <w:tcPr>
            <w:tcW w:w="239" w:type="pct"/>
          </w:tcPr>
          <w:p w14:paraId="33A663C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52C74BD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49FB5B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24AE27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69C049D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2830580A" w14:textId="4C16CFA6" w:rsidTr="00E17029">
        <w:tc>
          <w:tcPr>
            <w:tcW w:w="1463" w:type="pct"/>
          </w:tcPr>
          <w:p w14:paraId="1184A165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Is there a backup and disaster recovery plan in place for critical data during migration?</w:t>
            </w:r>
          </w:p>
        </w:tc>
        <w:tc>
          <w:tcPr>
            <w:tcW w:w="239" w:type="pct"/>
          </w:tcPr>
          <w:p w14:paraId="7701CA7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777DE9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22622A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20F574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2228F7DC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75227B87" w14:textId="035E9253" w:rsidTr="00E17029">
        <w:tc>
          <w:tcPr>
            <w:tcW w:w="1463" w:type="pct"/>
          </w:tcPr>
          <w:p w14:paraId="61AE41E3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controls in place to prevent data corruption or loss during the transition?</w:t>
            </w:r>
          </w:p>
        </w:tc>
        <w:tc>
          <w:tcPr>
            <w:tcW w:w="239" w:type="pct"/>
          </w:tcPr>
          <w:p w14:paraId="078E68F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2F48601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CE276C1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421659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5E201AA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12F530DE" w14:textId="35BBA472" w:rsidTr="00E17029">
        <w:tc>
          <w:tcPr>
            <w:tcW w:w="1463" w:type="pct"/>
          </w:tcPr>
          <w:p w14:paraId="46E9D09F" w14:textId="77777777" w:rsidR="00A84193" w:rsidRPr="009841A6" w:rsidRDefault="00A84193" w:rsidP="00CE5849">
            <w:pPr>
              <w:keepNext/>
              <w:keepLines/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lastRenderedPageBreak/>
              <w:t>Has data mapping between old and new systems been thoroughly reviewed and approved?</w:t>
            </w:r>
          </w:p>
        </w:tc>
        <w:tc>
          <w:tcPr>
            <w:tcW w:w="239" w:type="pct"/>
          </w:tcPr>
          <w:p w14:paraId="1D974090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E5182B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47FC93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E71483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7AA07DC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EE0BAF" w:rsidRPr="009841A6" w14:paraId="04004B61" w14:textId="6BAD9503" w:rsidTr="007C4EFF">
        <w:tc>
          <w:tcPr>
            <w:tcW w:w="5000" w:type="pct"/>
            <w:gridSpan w:val="6"/>
            <w:shd w:val="clear" w:color="auto" w:fill="002060"/>
          </w:tcPr>
          <w:p w14:paraId="7D3A7D96" w14:textId="3C140FE8" w:rsidR="00EE0BAF" w:rsidRPr="007C4EFF" w:rsidRDefault="00EE0BAF" w:rsidP="00E8524B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b/>
                <w:bCs/>
              </w:rPr>
            </w:pPr>
            <w:r w:rsidRPr="007C4EFF">
              <w:rPr>
                <w:b/>
                <w:bCs/>
              </w:rPr>
              <w:t>Risk Assessment &amp; Internal Controls</w:t>
            </w:r>
          </w:p>
        </w:tc>
      </w:tr>
      <w:tr w:rsidR="00A84193" w:rsidRPr="009841A6" w14:paraId="4FC58AB2" w14:textId="62ADAB7F" w:rsidTr="00E17029">
        <w:tc>
          <w:tcPr>
            <w:tcW w:w="1463" w:type="pct"/>
          </w:tcPr>
          <w:p w14:paraId="1A587D24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Has a comprehensive ERP risk assessment been conducted, identifying operational, compliance, and financial risks?</w:t>
            </w:r>
          </w:p>
        </w:tc>
        <w:tc>
          <w:tcPr>
            <w:tcW w:w="239" w:type="pct"/>
          </w:tcPr>
          <w:p w14:paraId="13F62732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6B5BFD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FF3C961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6ECD69C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3B990E2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450D9207" w14:textId="5372B43E" w:rsidTr="00E17029">
        <w:tc>
          <w:tcPr>
            <w:tcW w:w="1463" w:type="pct"/>
          </w:tcPr>
          <w:p w14:paraId="6866A67A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internal controls documented and evaluated to determine whether they will be carried forward or redesigned?</w:t>
            </w:r>
          </w:p>
        </w:tc>
        <w:tc>
          <w:tcPr>
            <w:tcW w:w="239" w:type="pct"/>
          </w:tcPr>
          <w:p w14:paraId="6F836040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F42144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94409D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9D7E24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7279A19C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2919D8A6" w14:textId="1D35019F" w:rsidTr="00E17029">
        <w:tc>
          <w:tcPr>
            <w:tcW w:w="1463" w:type="pct"/>
          </w:tcPr>
          <w:p w14:paraId="34A7EC1D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Has the internal audit function been consulted to provide risk-based insights before implementation?</w:t>
            </w:r>
          </w:p>
        </w:tc>
        <w:tc>
          <w:tcPr>
            <w:tcW w:w="239" w:type="pct"/>
          </w:tcPr>
          <w:p w14:paraId="7598D35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7FC6CA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9D1775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FF6AA2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158BFAD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0E09A1F6" w14:textId="6A85F606" w:rsidTr="00E17029">
        <w:tc>
          <w:tcPr>
            <w:tcW w:w="1463" w:type="pct"/>
          </w:tcPr>
          <w:p w14:paraId="5F99100D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there documented controls for user access management, segregation of duties (</w:t>
            </w:r>
            <w:proofErr w:type="spellStart"/>
            <w:r w:rsidRPr="009841A6">
              <w:t>SoD</w:t>
            </w:r>
            <w:proofErr w:type="spellEnd"/>
            <w:r w:rsidRPr="009841A6">
              <w:t>), and privileged access restrictions?</w:t>
            </w:r>
          </w:p>
        </w:tc>
        <w:tc>
          <w:tcPr>
            <w:tcW w:w="239" w:type="pct"/>
          </w:tcPr>
          <w:p w14:paraId="7AA4419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A0FA83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63134E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1151ED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303C40F0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17349211" w14:textId="39D6B830" w:rsidTr="00E17029">
        <w:tc>
          <w:tcPr>
            <w:tcW w:w="1463" w:type="pct"/>
          </w:tcPr>
          <w:p w14:paraId="229708AD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fraud risk controls integrated into the ERP system to prevent unauthorized transactions?</w:t>
            </w:r>
          </w:p>
        </w:tc>
        <w:tc>
          <w:tcPr>
            <w:tcW w:w="239" w:type="pct"/>
          </w:tcPr>
          <w:p w14:paraId="3526F63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624251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A868E1D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9B4983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7D64DDB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2B67A2D4" w14:textId="4E2AF4FB" w:rsidTr="00E17029">
        <w:tc>
          <w:tcPr>
            <w:tcW w:w="1463" w:type="pct"/>
          </w:tcPr>
          <w:p w14:paraId="56D45903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Is there an audit trail capability within the ERP system to track system changes and financial transactions?</w:t>
            </w:r>
          </w:p>
        </w:tc>
        <w:tc>
          <w:tcPr>
            <w:tcW w:w="239" w:type="pct"/>
          </w:tcPr>
          <w:p w14:paraId="2CAE701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DB9DE5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A6A1ABD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4F4082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61052B5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EE0BAF" w:rsidRPr="009841A6" w14:paraId="0E9E5D6F" w14:textId="1551BEEC" w:rsidTr="007C4EFF">
        <w:tc>
          <w:tcPr>
            <w:tcW w:w="5000" w:type="pct"/>
            <w:gridSpan w:val="6"/>
            <w:shd w:val="clear" w:color="auto" w:fill="002060"/>
          </w:tcPr>
          <w:p w14:paraId="7C162F2F" w14:textId="1802B49C" w:rsidR="00EE0BAF" w:rsidRPr="007C4EFF" w:rsidRDefault="00EE0BAF" w:rsidP="00E8524B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b/>
                <w:bCs/>
              </w:rPr>
            </w:pPr>
            <w:r w:rsidRPr="007C4EFF">
              <w:rPr>
                <w:b/>
                <w:bCs/>
              </w:rPr>
              <w:t>IT &amp; Cybersecurity Readiness Risks</w:t>
            </w:r>
          </w:p>
        </w:tc>
      </w:tr>
      <w:tr w:rsidR="00A84193" w:rsidRPr="009841A6" w14:paraId="16605C6F" w14:textId="4DA9E05B" w:rsidTr="00E17029">
        <w:tc>
          <w:tcPr>
            <w:tcW w:w="1463" w:type="pct"/>
          </w:tcPr>
          <w:p w14:paraId="6C7317AE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lastRenderedPageBreak/>
              <w:t>Have IT security policies been updated to align with ERP implementation requirements?</w:t>
            </w:r>
          </w:p>
        </w:tc>
        <w:tc>
          <w:tcPr>
            <w:tcW w:w="239" w:type="pct"/>
          </w:tcPr>
          <w:p w14:paraId="4002E83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DBB1212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0A19E91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31968F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0910E58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2A251A37" w14:textId="04EF436A" w:rsidTr="00E17029">
        <w:tc>
          <w:tcPr>
            <w:tcW w:w="1463" w:type="pct"/>
          </w:tcPr>
          <w:p w14:paraId="09C6C94C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cybersecurity risks assessed, including vulnerability management and penetration testing?</w:t>
            </w:r>
          </w:p>
        </w:tc>
        <w:tc>
          <w:tcPr>
            <w:tcW w:w="239" w:type="pct"/>
          </w:tcPr>
          <w:p w14:paraId="2290B78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F58888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02FB23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1158E61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69F9EFE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703D80E1" w14:textId="4D87F46E" w:rsidTr="00E17029">
        <w:tc>
          <w:tcPr>
            <w:tcW w:w="1463" w:type="pct"/>
          </w:tcPr>
          <w:p w14:paraId="6C6B6CE5" w14:textId="13647C41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 xml:space="preserve">Are role-based access controls (RBAC) established </w:t>
            </w:r>
            <w:r w:rsidR="00B53ACD">
              <w:t xml:space="preserve">to allow </w:t>
            </w:r>
            <w:r w:rsidRPr="009841A6">
              <w:t>least-privilege access?</w:t>
            </w:r>
          </w:p>
        </w:tc>
        <w:tc>
          <w:tcPr>
            <w:tcW w:w="239" w:type="pct"/>
          </w:tcPr>
          <w:p w14:paraId="533BB72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E026AD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D8C5A3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BADB80C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73B8FBD2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6EF80E82" w14:textId="74F899F2" w:rsidTr="00E17029">
        <w:tc>
          <w:tcPr>
            <w:tcW w:w="1463" w:type="pct"/>
          </w:tcPr>
          <w:p w14:paraId="028622F7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Has multi-factor authentication (MFA) been implemented for critical system access?</w:t>
            </w:r>
          </w:p>
        </w:tc>
        <w:tc>
          <w:tcPr>
            <w:tcW w:w="239" w:type="pct"/>
          </w:tcPr>
          <w:p w14:paraId="5D56902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BA1995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EACDBA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DCCF8C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0036DAE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78F2637F" w14:textId="4A06E654" w:rsidTr="00E17029">
        <w:tc>
          <w:tcPr>
            <w:tcW w:w="1463" w:type="pct"/>
          </w:tcPr>
          <w:p w14:paraId="3D517496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there encryption policies for data at rest and in transit?</w:t>
            </w:r>
          </w:p>
        </w:tc>
        <w:tc>
          <w:tcPr>
            <w:tcW w:w="239" w:type="pct"/>
          </w:tcPr>
          <w:p w14:paraId="5C818AB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1DC79A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5C51FD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4514DC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05BF0A6C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7EFFCB01" w14:textId="259EBC06" w:rsidTr="00E17029">
        <w:tc>
          <w:tcPr>
            <w:tcW w:w="1463" w:type="pct"/>
          </w:tcPr>
          <w:p w14:paraId="05E00A82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Has the IT team evaluated disaster recovery and business continuity plans?</w:t>
            </w:r>
          </w:p>
        </w:tc>
        <w:tc>
          <w:tcPr>
            <w:tcW w:w="239" w:type="pct"/>
          </w:tcPr>
          <w:p w14:paraId="5C186D3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43D56C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1EE4A9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6D55BC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55A0066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EE0BAF" w:rsidRPr="009841A6" w14:paraId="6728DEA9" w14:textId="3874E0A4" w:rsidTr="007C4EFF">
        <w:tc>
          <w:tcPr>
            <w:tcW w:w="5000" w:type="pct"/>
            <w:gridSpan w:val="6"/>
            <w:shd w:val="clear" w:color="auto" w:fill="002060"/>
          </w:tcPr>
          <w:p w14:paraId="76DAC8EB" w14:textId="4BC23773" w:rsidR="00EE0BAF" w:rsidRPr="007C4EFF" w:rsidRDefault="00EE0BAF" w:rsidP="00E8524B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b/>
                <w:bCs/>
              </w:rPr>
            </w:pPr>
            <w:r w:rsidRPr="007C4EFF">
              <w:rPr>
                <w:b/>
                <w:bCs/>
              </w:rPr>
              <w:t>Vendor &amp; Third-Party Risk Management</w:t>
            </w:r>
          </w:p>
        </w:tc>
      </w:tr>
      <w:tr w:rsidR="00A84193" w:rsidRPr="009841A6" w14:paraId="71730163" w14:textId="2642CA44" w:rsidTr="00E17029">
        <w:tc>
          <w:tcPr>
            <w:tcW w:w="1463" w:type="pct"/>
          </w:tcPr>
          <w:p w14:paraId="25F2DF73" w14:textId="646735D1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 xml:space="preserve">Have vendor contracts been reviewed to </w:t>
            </w:r>
            <w:r w:rsidR="004806B8">
              <w:t>verify that</w:t>
            </w:r>
            <w:r w:rsidRPr="009841A6">
              <w:t xml:space="preserve"> they include security, data privacy, and compliance requirements?</w:t>
            </w:r>
          </w:p>
        </w:tc>
        <w:tc>
          <w:tcPr>
            <w:tcW w:w="239" w:type="pct"/>
          </w:tcPr>
          <w:p w14:paraId="7B41B7A0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8E2A95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B0EE4D0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FF3F96C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6B5669B1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4CFD4CD3" w14:textId="70E70AAF" w:rsidTr="00E17029">
        <w:tc>
          <w:tcPr>
            <w:tcW w:w="1463" w:type="pct"/>
          </w:tcPr>
          <w:p w14:paraId="64091F29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there service-level agreements (SLAs) that outline vendor obligations, system uptime, and support commitments?</w:t>
            </w:r>
          </w:p>
        </w:tc>
        <w:tc>
          <w:tcPr>
            <w:tcW w:w="239" w:type="pct"/>
          </w:tcPr>
          <w:p w14:paraId="4732B67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1AB361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EC8747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BE8E38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6A91C10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3A2E2D4D" w14:textId="1ADFFA08" w:rsidTr="00E17029">
        <w:tc>
          <w:tcPr>
            <w:tcW w:w="1463" w:type="pct"/>
          </w:tcPr>
          <w:p w14:paraId="2C7907D4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lastRenderedPageBreak/>
              <w:t>Is there a right-to-audit clause in vendor agreements to allow audits of system performance and security?</w:t>
            </w:r>
          </w:p>
        </w:tc>
        <w:tc>
          <w:tcPr>
            <w:tcW w:w="239" w:type="pct"/>
          </w:tcPr>
          <w:p w14:paraId="13D99B7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59A8DC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88C675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7681A1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1D87D69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6B061FCB" w14:textId="33C8A73B" w:rsidTr="00E17029">
        <w:tc>
          <w:tcPr>
            <w:tcW w:w="1463" w:type="pct"/>
          </w:tcPr>
          <w:p w14:paraId="188CC249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third-party integrations reviewed for security vulnerabilities and compatibility with the ERP system?</w:t>
            </w:r>
          </w:p>
        </w:tc>
        <w:tc>
          <w:tcPr>
            <w:tcW w:w="239" w:type="pct"/>
          </w:tcPr>
          <w:p w14:paraId="4E85528D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688656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5A6D10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097673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33C44E6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14A24A9E" w14:textId="34A5C375" w:rsidTr="00E17029">
        <w:tc>
          <w:tcPr>
            <w:tcW w:w="1463" w:type="pct"/>
          </w:tcPr>
          <w:p w14:paraId="64FE8E34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Has vendor viability been assessed to mitigate the risk of financial instability or service disruptions?</w:t>
            </w:r>
          </w:p>
        </w:tc>
        <w:tc>
          <w:tcPr>
            <w:tcW w:w="239" w:type="pct"/>
          </w:tcPr>
          <w:p w14:paraId="4716E37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5740C4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1606BDD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19EDEA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56482AA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EE0BAF" w:rsidRPr="009841A6" w14:paraId="19656985" w14:textId="4F7DB293" w:rsidTr="007C4EFF">
        <w:tc>
          <w:tcPr>
            <w:tcW w:w="5000" w:type="pct"/>
            <w:gridSpan w:val="6"/>
            <w:shd w:val="clear" w:color="auto" w:fill="002060"/>
          </w:tcPr>
          <w:p w14:paraId="2438A338" w14:textId="566D8063" w:rsidR="00EE0BAF" w:rsidRPr="007C4EFF" w:rsidRDefault="00EE0BAF" w:rsidP="00E8524B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b/>
                <w:bCs/>
              </w:rPr>
            </w:pPr>
            <w:r w:rsidRPr="007C4EFF">
              <w:rPr>
                <w:b/>
                <w:bCs/>
              </w:rPr>
              <w:t>Compliance &amp; Regulatory Risks</w:t>
            </w:r>
          </w:p>
        </w:tc>
      </w:tr>
      <w:tr w:rsidR="00A84193" w:rsidRPr="009841A6" w14:paraId="7879D897" w14:textId="038EA4B3" w:rsidTr="00E17029">
        <w:tc>
          <w:tcPr>
            <w:tcW w:w="1463" w:type="pct"/>
          </w:tcPr>
          <w:p w14:paraId="628DE43D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compliance requirements (FERPA, HIPAA, GDPR, SOX, PCI-DSS) considered in system design?</w:t>
            </w:r>
          </w:p>
        </w:tc>
        <w:tc>
          <w:tcPr>
            <w:tcW w:w="239" w:type="pct"/>
          </w:tcPr>
          <w:p w14:paraId="1EF4E410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934B37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3680AB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C5EF803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1251246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73B8D566" w14:textId="2623E2E3" w:rsidTr="00E17029">
        <w:tc>
          <w:tcPr>
            <w:tcW w:w="1463" w:type="pct"/>
          </w:tcPr>
          <w:p w14:paraId="7577104A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Have necessary approvals been obtained from regulators or governing bodies?</w:t>
            </w:r>
          </w:p>
        </w:tc>
        <w:tc>
          <w:tcPr>
            <w:tcW w:w="239" w:type="pct"/>
          </w:tcPr>
          <w:p w14:paraId="64BF77B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0A8C19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5755927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790869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49C3E5B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63207CE5" w14:textId="7F5A52E9" w:rsidTr="00E17029">
        <w:tc>
          <w:tcPr>
            <w:tcW w:w="1463" w:type="pct"/>
          </w:tcPr>
          <w:p w14:paraId="14DFA743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audit and compliance teams engaged in reviewing the ERP’s compliance capabilities?</w:t>
            </w:r>
          </w:p>
        </w:tc>
        <w:tc>
          <w:tcPr>
            <w:tcW w:w="239" w:type="pct"/>
          </w:tcPr>
          <w:p w14:paraId="418A7D75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2AAF5C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82D1CD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3B4B55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472BA4BD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524F00AB" w14:textId="5514F064" w:rsidTr="00E17029">
        <w:tc>
          <w:tcPr>
            <w:tcW w:w="1463" w:type="pct"/>
          </w:tcPr>
          <w:p w14:paraId="706448F0" w14:textId="083A3202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 xml:space="preserve">Has a legal review been conducted to </w:t>
            </w:r>
            <w:r w:rsidR="005C67AE">
              <w:t>confirm that</w:t>
            </w:r>
            <w:r w:rsidRPr="009841A6">
              <w:t xml:space="preserve"> ERP implementation aligns with institutional policies?</w:t>
            </w:r>
          </w:p>
        </w:tc>
        <w:tc>
          <w:tcPr>
            <w:tcW w:w="239" w:type="pct"/>
          </w:tcPr>
          <w:p w14:paraId="6CBAD766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847557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7D499B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3EF124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1F57224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EE0BAF" w:rsidRPr="009841A6" w14:paraId="22FA4F17" w14:textId="5DEC6E7A" w:rsidTr="007C4EFF">
        <w:tc>
          <w:tcPr>
            <w:tcW w:w="5000" w:type="pct"/>
            <w:gridSpan w:val="6"/>
            <w:shd w:val="clear" w:color="auto" w:fill="002060"/>
          </w:tcPr>
          <w:p w14:paraId="5257202D" w14:textId="06171913" w:rsidR="00EE0BAF" w:rsidRPr="007C4EFF" w:rsidRDefault="00EE0BAF" w:rsidP="00CE5849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20" w:after="120"/>
              <w:contextualSpacing w:val="0"/>
              <w:rPr>
                <w:b/>
                <w:bCs/>
              </w:rPr>
            </w:pPr>
            <w:r w:rsidRPr="007C4EFF">
              <w:rPr>
                <w:b/>
                <w:bCs/>
              </w:rPr>
              <w:lastRenderedPageBreak/>
              <w:t>Budget &amp; Financial Planning Risks</w:t>
            </w:r>
          </w:p>
        </w:tc>
      </w:tr>
      <w:tr w:rsidR="00A84193" w:rsidRPr="009841A6" w14:paraId="0CC18E42" w14:textId="33714219" w:rsidTr="00E17029">
        <w:tc>
          <w:tcPr>
            <w:tcW w:w="1463" w:type="pct"/>
          </w:tcPr>
          <w:p w14:paraId="77B8EF4E" w14:textId="77777777" w:rsidR="00A84193" w:rsidRPr="009841A6" w:rsidRDefault="00A84193" w:rsidP="00CE5849">
            <w:pPr>
              <w:keepNext/>
              <w:keepLines/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Is there a clearly defined budget for ERP implementation, including contingency funds?</w:t>
            </w:r>
          </w:p>
        </w:tc>
        <w:tc>
          <w:tcPr>
            <w:tcW w:w="239" w:type="pct"/>
          </w:tcPr>
          <w:p w14:paraId="042CE03D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636F1E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23434F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06FE315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1B018BA8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27329C55" w14:textId="0097168C" w:rsidTr="00E17029">
        <w:tc>
          <w:tcPr>
            <w:tcW w:w="1463" w:type="pct"/>
          </w:tcPr>
          <w:p w14:paraId="787B2475" w14:textId="77777777" w:rsidR="00A84193" w:rsidRPr="009841A6" w:rsidRDefault="00A84193" w:rsidP="00CE5849">
            <w:pPr>
              <w:keepNext/>
              <w:keepLines/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cost estimates for licensing, customization, and training realistic?</w:t>
            </w:r>
          </w:p>
        </w:tc>
        <w:tc>
          <w:tcPr>
            <w:tcW w:w="239" w:type="pct"/>
          </w:tcPr>
          <w:p w14:paraId="3AFE7E5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67F75DFF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809ADE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25C4BACC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3F489A94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46F3E646" w14:textId="602F5570" w:rsidTr="00E17029">
        <w:tc>
          <w:tcPr>
            <w:tcW w:w="1463" w:type="pct"/>
          </w:tcPr>
          <w:p w14:paraId="5BA43E39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Is there a structured approach for tracking and monitoring ERP-related expenses?</w:t>
            </w:r>
          </w:p>
        </w:tc>
        <w:tc>
          <w:tcPr>
            <w:tcW w:w="239" w:type="pct"/>
          </w:tcPr>
          <w:p w14:paraId="02AC64FA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3A05F44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69C157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13E98440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12ED81B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  <w:tr w:rsidR="00A84193" w:rsidRPr="009841A6" w14:paraId="4C477D07" w14:textId="30AFC05F" w:rsidTr="00E17029">
        <w:tc>
          <w:tcPr>
            <w:tcW w:w="1463" w:type="pct"/>
          </w:tcPr>
          <w:p w14:paraId="15D5F5E8" w14:textId="77777777" w:rsidR="00A84193" w:rsidRPr="009841A6" w:rsidRDefault="00A84193" w:rsidP="00CE5849">
            <w:pPr>
              <w:numPr>
                <w:ilvl w:val="1"/>
                <w:numId w:val="9"/>
              </w:numPr>
              <w:spacing w:before="120" w:after="120"/>
              <w:ind w:left="504"/>
            </w:pPr>
            <w:r w:rsidRPr="009841A6">
              <w:t>Are financial projections aligned with expected cost savings and operational efficiencies?</w:t>
            </w:r>
          </w:p>
        </w:tc>
        <w:tc>
          <w:tcPr>
            <w:tcW w:w="239" w:type="pct"/>
          </w:tcPr>
          <w:p w14:paraId="6A31D5FB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04E0709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7346B3D0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40" w:type="pct"/>
          </w:tcPr>
          <w:p w14:paraId="45F33847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  <w:tc>
          <w:tcPr>
            <w:tcW w:w="2578" w:type="pct"/>
          </w:tcPr>
          <w:p w14:paraId="6173D00E" w14:textId="77777777" w:rsidR="00A84193" w:rsidRPr="009841A6" w:rsidRDefault="00A84193" w:rsidP="00E8524B">
            <w:pPr>
              <w:spacing w:before="120" w:after="120"/>
              <w:ind w:left="1080"/>
            </w:pPr>
          </w:p>
        </w:tc>
      </w:tr>
    </w:tbl>
    <w:p w14:paraId="6061CC02" w14:textId="77777777" w:rsidR="009841A6" w:rsidRDefault="009841A6" w:rsidP="009841A6">
      <w:pPr>
        <w:rPr>
          <w:b/>
          <w:bCs/>
        </w:rPr>
      </w:pPr>
    </w:p>
    <w:p w14:paraId="79488273" w14:textId="77777777" w:rsidR="009841A6" w:rsidRDefault="009841A6" w:rsidP="009841A6">
      <w:pPr>
        <w:rPr>
          <w:b/>
          <w:bCs/>
        </w:rPr>
      </w:pPr>
    </w:p>
    <w:p w14:paraId="641E8B47" w14:textId="77777777" w:rsidR="009841A6" w:rsidRDefault="009841A6" w:rsidP="009841A6">
      <w:pPr>
        <w:rPr>
          <w:b/>
          <w:bCs/>
        </w:rPr>
      </w:pPr>
    </w:p>
    <w:p w14:paraId="4D9BFB99" w14:textId="77777777" w:rsidR="009841A6" w:rsidRDefault="009841A6" w:rsidP="009841A6">
      <w:pPr>
        <w:rPr>
          <w:b/>
          <w:bCs/>
        </w:rPr>
      </w:pPr>
    </w:p>
    <w:sectPr w:rsidR="009841A6" w:rsidSect="009841A6">
      <w:footerReference w:type="default" r:id="rId7"/>
      <w:pgSz w:w="15840" w:h="12240" w:orient="landscape" w:code="1"/>
      <w:pgMar w:top="1440" w:right="864" w:bottom="1440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38DE0" w14:textId="77777777" w:rsidR="009841A6" w:rsidRDefault="009841A6" w:rsidP="00A123D0">
      <w:r>
        <w:separator/>
      </w:r>
    </w:p>
  </w:endnote>
  <w:endnote w:type="continuationSeparator" w:id="0">
    <w:p w14:paraId="3FFF284F" w14:textId="77777777" w:rsidR="009841A6" w:rsidRDefault="009841A6" w:rsidP="00A123D0">
      <w:r>
        <w:continuationSeparator/>
      </w:r>
    </w:p>
  </w:endnote>
  <w:endnote w:type="continuationNotice" w:id="1">
    <w:p w14:paraId="14432161" w14:textId="77777777" w:rsidR="006402B6" w:rsidRDefault="00640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2530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578454" w14:textId="54418DD5" w:rsidR="00E01D90" w:rsidRDefault="00E01D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78359" w14:textId="77777777" w:rsidR="00A123D0" w:rsidRDefault="00A12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1DA54" w14:textId="77777777" w:rsidR="009841A6" w:rsidRDefault="009841A6" w:rsidP="00A123D0">
      <w:r>
        <w:separator/>
      </w:r>
    </w:p>
  </w:footnote>
  <w:footnote w:type="continuationSeparator" w:id="0">
    <w:p w14:paraId="18795C3D" w14:textId="77777777" w:rsidR="009841A6" w:rsidRDefault="009841A6" w:rsidP="00A123D0">
      <w:r>
        <w:continuationSeparator/>
      </w:r>
    </w:p>
  </w:footnote>
  <w:footnote w:type="continuationNotice" w:id="1">
    <w:p w14:paraId="27CE4C60" w14:textId="77777777" w:rsidR="006402B6" w:rsidRDefault="006402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5051"/>
    <w:multiLevelType w:val="multilevel"/>
    <w:tmpl w:val="01E88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7211"/>
    <w:multiLevelType w:val="multilevel"/>
    <w:tmpl w:val="722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24D80"/>
    <w:multiLevelType w:val="hybridMultilevel"/>
    <w:tmpl w:val="F04E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501"/>
    <w:multiLevelType w:val="multilevel"/>
    <w:tmpl w:val="2F2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327B2"/>
    <w:multiLevelType w:val="multilevel"/>
    <w:tmpl w:val="043A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1645A"/>
    <w:multiLevelType w:val="multilevel"/>
    <w:tmpl w:val="4678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6072A"/>
    <w:multiLevelType w:val="multilevel"/>
    <w:tmpl w:val="0476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B4820"/>
    <w:multiLevelType w:val="multilevel"/>
    <w:tmpl w:val="73B2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65E5B"/>
    <w:multiLevelType w:val="multilevel"/>
    <w:tmpl w:val="3F32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11451"/>
    <w:multiLevelType w:val="hybridMultilevel"/>
    <w:tmpl w:val="3CB08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EE42D7"/>
    <w:multiLevelType w:val="hybridMultilevel"/>
    <w:tmpl w:val="F0BE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3770">
    <w:abstractNumId w:val="1"/>
  </w:num>
  <w:num w:numId="2" w16cid:durableId="293105324">
    <w:abstractNumId w:val="0"/>
  </w:num>
  <w:num w:numId="3" w16cid:durableId="211039836">
    <w:abstractNumId w:val="8"/>
  </w:num>
  <w:num w:numId="4" w16cid:durableId="532962972">
    <w:abstractNumId w:val="3"/>
  </w:num>
  <w:num w:numId="5" w16cid:durableId="1968537213">
    <w:abstractNumId w:val="4"/>
  </w:num>
  <w:num w:numId="6" w16cid:durableId="1947033756">
    <w:abstractNumId w:val="5"/>
  </w:num>
  <w:num w:numId="7" w16cid:durableId="359672439">
    <w:abstractNumId w:val="7"/>
  </w:num>
  <w:num w:numId="8" w16cid:durableId="1591113065">
    <w:abstractNumId w:val="6"/>
  </w:num>
  <w:num w:numId="9" w16cid:durableId="1252928624">
    <w:abstractNumId w:val="9"/>
  </w:num>
  <w:num w:numId="10" w16cid:durableId="2096124279">
    <w:abstractNumId w:val="2"/>
  </w:num>
  <w:num w:numId="11" w16cid:durableId="2090694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A6"/>
    <w:rsid w:val="000B1604"/>
    <w:rsid w:val="00210745"/>
    <w:rsid w:val="00237423"/>
    <w:rsid w:val="002A0715"/>
    <w:rsid w:val="0030429A"/>
    <w:rsid w:val="00317B13"/>
    <w:rsid w:val="00337F5C"/>
    <w:rsid w:val="0038132B"/>
    <w:rsid w:val="003E2192"/>
    <w:rsid w:val="00403AD2"/>
    <w:rsid w:val="0045191D"/>
    <w:rsid w:val="004621FE"/>
    <w:rsid w:val="004709FD"/>
    <w:rsid w:val="004806B8"/>
    <w:rsid w:val="004F2847"/>
    <w:rsid w:val="00521228"/>
    <w:rsid w:val="00531BE0"/>
    <w:rsid w:val="005412B8"/>
    <w:rsid w:val="00555991"/>
    <w:rsid w:val="00587D5F"/>
    <w:rsid w:val="005B37D3"/>
    <w:rsid w:val="005C67AE"/>
    <w:rsid w:val="0061097A"/>
    <w:rsid w:val="006402B6"/>
    <w:rsid w:val="00644BDB"/>
    <w:rsid w:val="00671DA9"/>
    <w:rsid w:val="00674966"/>
    <w:rsid w:val="007835CE"/>
    <w:rsid w:val="007A3191"/>
    <w:rsid w:val="007C4EFF"/>
    <w:rsid w:val="007D7080"/>
    <w:rsid w:val="00802FB4"/>
    <w:rsid w:val="008322F8"/>
    <w:rsid w:val="00847938"/>
    <w:rsid w:val="00866A2E"/>
    <w:rsid w:val="008A2763"/>
    <w:rsid w:val="009841A6"/>
    <w:rsid w:val="00987840"/>
    <w:rsid w:val="009D4A85"/>
    <w:rsid w:val="009F5528"/>
    <w:rsid w:val="00A123D0"/>
    <w:rsid w:val="00A210D1"/>
    <w:rsid w:val="00A72D51"/>
    <w:rsid w:val="00A84193"/>
    <w:rsid w:val="00A848D7"/>
    <w:rsid w:val="00B26CEC"/>
    <w:rsid w:val="00B53ACD"/>
    <w:rsid w:val="00BC4FEA"/>
    <w:rsid w:val="00BC6874"/>
    <w:rsid w:val="00BD57A9"/>
    <w:rsid w:val="00BD732A"/>
    <w:rsid w:val="00C83649"/>
    <w:rsid w:val="00CA043C"/>
    <w:rsid w:val="00CE5849"/>
    <w:rsid w:val="00D50213"/>
    <w:rsid w:val="00E01D90"/>
    <w:rsid w:val="00E17029"/>
    <w:rsid w:val="00E66C0B"/>
    <w:rsid w:val="00E8243D"/>
    <w:rsid w:val="00E8524B"/>
    <w:rsid w:val="00EA087D"/>
    <w:rsid w:val="00EC4FC9"/>
    <w:rsid w:val="00EE0BAF"/>
    <w:rsid w:val="00EE2197"/>
    <w:rsid w:val="00F42708"/>
    <w:rsid w:val="00FA438B"/>
    <w:rsid w:val="00FA747A"/>
    <w:rsid w:val="00FF4788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CD764"/>
  <w15:chartTrackingRefBased/>
  <w15:docId w15:val="{58BCDE43-42FD-4669-AABA-EFE5A08C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7D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2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A2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A2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6A2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6A2E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6A2E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66A2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66A2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6A2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87D"/>
    <w:pPr>
      <w:jc w:val="both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6A2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66A2E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66A2E"/>
    <w:rPr>
      <w:rFonts w:ascii="Arial" w:eastAsiaTheme="majorEastAsia" w:hAnsi="Arial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66A2E"/>
    <w:rPr>
      <w:rFonts w:ascii="Arial" w:eastAsiaTheme="majorEastAsia" w:hAnsi="Arial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66A2E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6A2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A2E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A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A2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66A2E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66A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66A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66A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66A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6A2E"/>
    <w:rPr>
      <w:rFonts w:ascii="Arial" w:hAnsi="Arial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A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A2E"/>
    <w:rPr>
      <w:rFonts w:ascii="Arial" w:hAnsi="Arial"/>
      <w:b/>
      <w:bCs/>
      <w:i/>
      <w:iCs/>
      <w:color w:val="4F81BD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866A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66A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6A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66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3D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D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98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26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448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410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693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070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2073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112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f60d36-925f-4785-a854-510f909ee561}" enabled="0" method="" siteId="{6ff60d36-925f-4785-a854-510f909ee5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898</Words>
  <Characters>5124</Characters>
  <Application>Microsoft Office Word</Application>
  <DocSecurity>0</DocSecurity>
  <Lines>42</Lines>
  <Paragraphs>12</Paragraphs>
  <ScaleCrop>false</ScaleCrop>
  <Company>Crowe LLP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Dykstra, Bill</dc:creator>
  <cp:keywords/>
  <dc:description/>
  <cp:lastModifiedBy>Dykstra, Bill</cp:lastModifiedBy>
  <cp:revision>33</cp:revision>
  <dcterms:created xsi:type="dcterms:W3CDTF">2025-02-06T23:46:00Z</dcterms:created>
  <dcterms:modified xsi:type="dcterms:W3CDTF">2025-02-08T22:29:00Z</dcterms:modified>
</cp:coreProperties>
</file>