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E3" w:rsidRPr="00C243A6" w:rsidRDefault="00023ECC" w:rsidP="00675744">
      <w:pPr>
        <w:spacing w:after="0" w:line="600" w:lineRule="exact"/>
        <w:jc w:val="center"/>
        <w:rPr>
          <w:rFonts w:ascii="Times New Roman" w:hAnsi="Times New Roman" w:cs="Times New Roman"/>
          <w:b/>
          <w:color w:val="000066"/>
          <w:sz w:val="56"/>
        </w:rPr>
      </w:pPr>
      <w:r w:rsidRPr="00C243A6">
        <w:rPr>
          <w:rFonts w:ascii="Times New Roman" w:hAnsi="Times New Roman" w:cs="Times New Roman"/>
          <w:b/>
          <w:noProof/>
          <w:color w:val="000066"/>
          <w:sz w:val="56"/>
        </w:rPr>
        <w:drawing>
          <wp:anchor distT="0" distB="0" distL="114300" distR="114300" simplePos="0" relativeHeight="251659264" behindDoc="0" locked="0" layoutInCell="1" allowOverlap="1" wp14:anchorId="29DF4426" wp14:editId="754631DB">
            <wp:simplePos x="0" y="0"/>
            <wp:positionH relativeFrom="column">
              <wp:posOffset>4371975</wp:posOffset>
            </wp:positionH>
            <wp:positionV relativeFrom="paragraph">
              <wp:posOffset>0</wp:posOffset>
            </wp:positionV>
            <wp:extent cx="2181225" cy="2141220"/>
            <wp:effectExtent l="0" t="0" r="9525" b="0"/>
            <wp:wrapThrough wrapText="bothSides">
              <wp:wrapPolygon edited="0">
                <wp:start x="0" y="0"/>
                <wp:lineTo x="0" y="21331"/>
                <wp:lineTo x="21506" y="21331"/>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E3" w:rsidRPr="00C243A6">
        <w:rPr>
          <w:rFonts w:ascii="Times New Roman" w:hAnsi="Times New Roman" w:cs="Times New Roman"/>
          <w:b/>
          <w:color w:val="000066"/>
          <w:sz w:val="56"/>
        </w:rPr>
        <w:t>Internal Audit</w:t>
      </w:r>
    </w:p>
    <w:p w:rsidR="00C27A16" w:rsidRPr="00C243A6" w:rsidRDefault="00602421" w:rsidP="00675744">
      <w:pPr>
        <w:spacing w:after="0" w:line="600" w:lineRule="exact"/>
        <w:jc w:val="center"/>
        <w:rPr>
          <w:rFonts w:ascii="Times New Roman" w:hAnsi="Times New Roman" w:cs="Times New Roman"/>
          <w:b/>
          <w:color w:val="000066"/>
          <w:sz w:val="56"/>
        </w:rPr>
      </w:pPr>
      <w:r w:rsidRPr="00C243A6">
        <w:rPr>
          <w:rFonts w:ascii="Times New Roman" w:hAnsi="Times New Roman" w:cs="Times New Roman"/>
          <w:b/>
          <w:color w:val="000066"/>
          <w:sz w:val="56"/>
        </w:rPr>
        <w:t>Awareness Month T</w:t>
      </w:r>
      <w:r w:rsidR="00D163E3" w:rsidRPr="00C243A6">
        <w:rPr>
          <w:rFonts w:ascii="Times New Roman" w:hAnsi="Times New Roman" w:cs="Times New Roman"/>
          <w:b/>
          <w:color w:val="000066"/>
          <w:sz w:val="56"/>
        </w:rPr>
        <w:t>ool-Kit</w:t>
      </w:r>
    </w:p>
    <w:p w:rsidR="00D163E3" w:rsidRPr="00C243A6" w:rsidRDefault="00A27F89" w:rsidP="00AE0DC2">
      <w:pPr>
        <w:spacing w:before="100" w:beforeAutospacing="1" w:after="100" w:afterAutospacing="1" w:line="280" w:lineRule="exact"/>
        <w:jc w:val="both"/>
        <w:rPr>
          <w:rFonts w:ascii="Times New Roman" w:hAnsi="Times New Roman" w:cs="Times New Roman"/>
          <w:color w:val="000066"/>
          <w:sz w:val="24"/>
        </w:rPr>
      </w:pPr>
      <w:r w:rsidRPr="00C243A6">
        <w:rPr>
          <w:rFonts w:ascii="Times New Roman" w:hAnsi="Times New Roman" w:cs="Times New Roman"/>
          <w:color w:val="000066"/>
          <w:sz w:val="24"/>
        </w:rPr>
        <w:t>An i</w:t>
      </w:r>
      <w:r w:rsidR="002C436C" w:rsidRPr="00C243A6">
        <w:rPr>
          <w:rFonts w:ascii="Times New Roman" w:hAnsi="Times New Roman" w:cs="Times New Roman"/>
          <w:color w:val="000066"/>
          <w:sz w:val="24"/>
        </w:rPr>
        <w:t>nternal audit awareness</w:t>
      </w:r>
      <w:r w:rsidRPr="00C243A6">
        <w:rPr>
          <w:rFonts w:ascii="Times New Roman" w:hAnsi="Times New Roman" w:cs="Times New Roman"/>
          <w:color w:val="000066"/>
          <w:sz w:val="24"/>
        </w:rPr>
        <w:t xml:space="preserve"> campaign</w:t>
      </w:r>
      <w:r w:rsidR="002C743D" w:rsidRPr="00C243A6">
        <w:rPr>
          <w:rFonts w:ascii="Times New Roman" w:hAnsi="Times New Roman" w:cs="Times New Roman"/>
          <w:color w:val="000066"/>
          <w:sz w:val="24"/>
        </w:rPr>
        <w:t xml:space="preserve"> </w:t>
      </w:r>
      <w:r w:rsidRPr="00C243A6">
        <w:rPr>
          <w:rFonts w:ascii="Times New Roman" w:hAnsi="Times New Roman" w:cs="Times New Roman"/>
          <w:color w:val="000066"/>
          <w:sz w:val="24"/>
        </w:rPr>
        <w:t xml:space="preserve">is important to create </w:t>
      </w:r>
      <w:r w:rsidR="009623BA" w:rsidRPr="00C243A6">
        <w:rPr>
          <w:rFonts w:ascii="Times New Roman" w:hAnsi="Times New Roman" w:cs="Times New Roman"/>
          <w:color w:val="000066"/>
          <w:sz w:val="24"/>
        </w:rPr>
        <w:t>advocacy</w:t>
      </w:r>
      <w:r w:rsidRPr="00C243A6">
        <w:rPr>
          <w:rFonts w:ascii="Times New Roman" w:hAnsi="Times New Roman" w:cs="Times New Roman"/>
          <w:color w:val="000066"/>
          <w:sz w:val="24"/>
        </w:rPr>
        <w:t xml:space="preserve"> for the value of internal audit and building relationships on our campuses</w:t>
      </w:r>
      <w:r w:rsidR="002C743D" w:rsidRPr="00C243A6">
        <w:rPr>
          <w:rFonts w:ascii="Times New Roman" w:hAnsi="Times New Roman" w:cs="Times New Roman"/>
          <w:color w:val="000066"/>
          <w:sz w:val="24"/>
        </w:rPr>
        <w:t xml:space="preserve">. </w:t>
      </w:r>
      <w:r w:rsidR="002C436C" w:rsidRPr="00C243A6">
        <w:rPr>
          <w:rFonts w:ascii="Times New Roman" w:hAnsi="Times New Roman" w:cs="Times New Roman"/>
          <w:color w:val="000066"/>
          <w:sz w:val="24"/>
        </w:rPr>
        <w:t xml:space="preserve"> </w:t>
      </w:r>
      <w:r w:rsidR="00AC12C1" w:rsidRPr="00C243A6">
        <w:rPr>
          <w:rFonts w:ascii="Times New Roman" w:hAnsi="Times New Roman" w:cs="Times New Roman"/>
          <w:color w:val="000066"/>
          <w:sz w:val="24"/>
        </w:rPr>
        <w:t>As auditors, w</w:t>
      </w:r>
      <w:r w:rsidR="002C436C" w:rsidRPr="00C243A6">
        <w:rPr>
          <w:rFonts w:ascii="Times New Roman" w:hAnsi="Times New Roman" w:cs="Times New Roman"/>
          <w:color w:val="000066"/>
          <w:sz w:val="24"/>
        </w:rPr>
        <w:t>e can inc</w:t>
      </w:r>
      <w:r w:rsidR="004D7594" w:rsidRPr="00C243A6">
        <w:rPr>
          <w:rFonts w:ascii="Times New Roman" w:hAnsi="Times New Roman" w:cs="Times New Roman"/>
          <w:color w:val="000066"/>
          <w:sz w:val="24"/>
        </w:rPr>
        <w:t>rease internal audit awareness b</w:t>
      </w:r>
      <w:r w:rsidR="002C436C" w:rsidRPr="00C243A6">
        <w:rPr>
          <w:rFonts w:ascii="Times New Roman" w:hAnsi="Times New Roman" w:cs="Times New Roman"/>
          <w:color w:val="000066"/>
          <w:sz w:val="24"/>
        </w:rPr>
        <w:t>y inserting our presence around our various campuses.  Be it at campus events, consulting for implementation of new processes or systems, attending meetings a</w:t>
      </w:r>
      <w:r w:rsidR="00CC560F" w:rsidRPr="00C243A6">
        <w:rPr>
          <w:rFonts w:ascii="Times New Roman" w:hAnsi="Times New Roman" w:cs="Times New Roman"/>
          <w:color w:val="000066"/>
          <w:sz w:val="24"/>
        </w:rPr>
        <w:t>t</w:t>
      </w:r>
      <w:r w:rsidR="002C436C" w:rsidRPr="00C243A6">
        <w:rPr>
          <w:rFonts w:ascii="Times New Roman" w:hAnsi="Times New Roman" w:cs="Times New Roman"/>
          <w:color w:val="000066"/>
          <w:sz w:val="24"/>
        </w:rPr>
        <w:t xml:space="preserve"> academic levels –i.e., faculty or student councils, </w:t>
      </w:r>
      <w:r w:rsidR="00AC12C1" w:rsidRPr="00C243A6">
        <w:rPr>
          <w:rFonts w:ascii="Times New Roman" w:hAnsi="Times New Roman" w:cs="Times New Roman"/>
          <w:color w:val="000066"/>
          <w:sz w:val="24"/>
        </w:rPr>
        <w:t xml:space="preserve">giving </w:t>
      </w:r>
      <w:r w:rsidR="002C436C" w:rsidRPr="00C243A6">
        <w:rPr>
          <w:rFonts w:ascii="Times New Roman" w:hAnsi="Times New Roman" w:cs="Times New Roman"/>
          <w:color w:val="000066"/>
          <w:sz w:val="24"/>
        </w:rPr>
        <w:t>class presentations,</w:t>
      </w:r>
      <w:r w:rsidR="00B9351F" w:rsidRPr="00C243A6">
        <w:rPr>
          <w:rFonts w:ascii="Times New Roman" w:hAnsi="Times New Roman" w:cs="Times New Roman"/>
          <w:color w:val="000066"/>
          <w:sz w:val="24"/>
        </w:rPr>
        <w:t xml:space="preserve"> speaking at conferences,</w:t>
      </w:r>
      <w:r w:rsidR="002C436C" w:rsidRPr="00C243A6">
        <w:rPr>
          <w:rFonts w:ascii="Times New Roman" w:hAnsi="Times New Roman" w:cs="Times New Roman"/>
          <w:color w:val="000066"/>
          <w:sz w:val="24"/>
        </w:rPr>
        <w:t xml:space="preserve"> </w:t>
      </w:r>
      <w:r w:rsidR="00CC560F" w:rsidRPr="00C243A6">
        <w:rPr>
          <w:rFonts w:ascii="Times New Roman" w:hAnsi="Times New Roman" w:cs="Times New Roman"/>
          <w:color w:val="000066"/>
          <w:sz w:val="24"/>
        </w:rPr>
        <w:t>issuing newsletters</w:t>
      </w:r>
      <w:r w:rsidR="00AE0DC2" w:rsidRPr="00C243A6">
        <w:rPr>
          <w:rFonts w:ascii="Times New Roman" w:hAnsi="Times New Roman" w:cs="Times New Roman"/>
          <w:color w:val="000066"/>
          <w:sz w:val="24"/>
        </w:rPr>
        <w:t xml:space="preserve">, </w:t>
      </w:r>
      <w:r w:rsidR="00CC560F" w:rsidRPr="00C243A6">
        <w:rPr>
          <w:rFonts w:ascii="Times New Roman" w:hAnsi="Times New Roman" w:cs="Times New Roman"/>
          <w:color w:val="000066"/>
          <w:sz w:val="24"/>
        </w:rPr>
        <w:t xml:space="preserve">providing useful tips on our websites, </w:t>
      </w:r>
      <w:r w:rsidR="002C436C" w:rsidRPr="00C243A6">
        <w:rPr>
          <w:rFonts w:ascii="Times New Roman" w:hAnsi="Times New Roman" w:cs="Times New Roman"/>
          <w:color w:val="000066"/>
          <w:sz w:val="24"/>
        </w:rPr>
        <w:t>etc.</w:t>
      </w:r>
      <w:r w:rsidR="00AE0DC2" w:rsidRPr="00C243A6">
        <w:rPr>
          <w:rFonts w:ascii="Times New Roman" w:hAnsi="Times New Roman" w:cs="Times New Roman"/>
          <w:color w:val="000066"/>
          <w:sz w:val="24"/>
        </w:rPr>
        <w:t xml:space="preserve">, participation in these areas will show that IA is approachable, reasonable and works to help add value </w:t>
      </w:r>
      <w:r w:rsidRPr="00C243A6">
        <w:rPr>
          <w:rFonts w:ascii="Times New Roman" w:hAnsi="Times New Roman" w:cs="Times New Roman"/>
          <w:color w:val="000066"/>
          <w:sz w:val="24"/>
        </w:rPr>
        <w:t xml:space="preserve">and minimize risks </w:t>
      </w:r>
      <w:r w:rsidR="00AE0DC2" w:rsidRPr="00C243A6">
        <w:rPr>
          <w:rFonts w:ascii="Times New Roman" w:hAnsi="Times New Roman" w:cs="Times New Roman"/>
          <w:color w:val="000066"/>
          <w:sz w:val="24"/>
        </w:rPr>
        <w:t>to the organization.</w:t>
      </w:r>
    </w:p>
    <w:p w:rsidR="0098230A" w:rsidRPr="005F03AD" w:rsidRDefault="0098230A" w:rsidP="001B3773">
      <w:pPr>
        <w:spacing w:before="100" w:beforeAutospacing="1" w:after="100" w:afterAutospacing="1" w:line="240" w:lineRule="exact"/>
        <w:jc w:val="both"/>
        <w:rPr>
          <w:rFonts w:ascii="Times New Roman" w:hAnsi="Times New Roman" w:cs="Times New Roman"/>
          <w:b/>
          <w:color w:val="000066"/>
          <w:sz w:val="24"/>
        </w:rPr>
      </w:pPr>
      <w:r w:rsidRPr="005F03AD">
        <w:rPr>
          <w:rFonts w:ascii="Times New Roman" w:hAnsi="Times New Roman" w:cs="Times New Roman"/>
          <w:b/>
          <w:color w:val="000066"/>
          <w:sz w:val="24"/>
        </w:rPr>
        <w:t>Creative ways to market IA:</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IA Newsletter including quarterly tips or audit alerts</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Prepare and distribute brochures</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Host a town hall meeting </w:t>
      </w:r>
      <w:r>
        <w:rPr>
          <w:rFonts w:ascii="Times New Roman" w:hAnsi="Times New Roman" w:cs="Times New Roman"/>
          <w:color w:val="000066"/>
          <w:sz w:val="24"/>
        </w:rPr>
        <w:t>and</w:t>
      </w:r>
      <w:r w:rsidRPr="005F03AD">
        <w:rPr>
          <w:rFonts w:ascii="Times New Roman" w:hAnsi="Times New Roman" w:cs="Times New Roman"/>
          <w:color w:val="000066"/>
          <w:sz w:val="24"/>
        </w:rPr>
        <w:t xml:space="preserve"> give a brief presentation</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Lunch &amp; Learns/training for the campus community</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Pr>
          <w:rFonts w:ascii="Times New Roman" w:hAnsi="Times New Roman" w:cs="Times New Roman"/>
          <w:color w:val="000066"/>
          <w:sz w:val="24"/>
        </w:rPr>
        <w:t>Prepare and distribute posters</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szCs w:val="28"/>
        </w:rPr>
        <w:t>Add this awareness link to your e-mail signature:</w:t>
      </w:r>
      <w:r w:rsidRPr="005F03AD">
        <w:rPr>
          <w:rFonts w:ascii="Times New Roman" w:hAnsi="Times New Roman" w:cs="Times New Roman"/>
          <w:color w:val="000066"/>
          <w:sz w:val="20"/>
        </w:rPr>
        <w:t xml:space="preserve"> </w:t>
      </w:r>
      <w:hyperlink r:id="rId9" w:history="1">
        <w:r w:rsidRPr="005F03AD">
          <w:rPr>
            <w:rStyle w:val="Hyperlink"/>
            <w:rFonts w:ascii="Times New Roman" w:hAnsi="Times New Roman" w:cs="Times New Roman"/>
            <w:sz w:val="24"/>
          </w:rPr>
          <w:t>www.acua.org/movie</w:t>
        </w:r>
      </w:hyperlink>
      <w:r w:rsidRPr="005F03AD">
        <w:rPr>
          <w:rFonts w:ascii="Times New Roman" w:hAnsi="Times New Roman" w:cs="Times New Roman"/>
          <w:color w:val="000066"/>
          <w:sz w:val="24"/>
        </w:rPr>
        <w:t xml:space="preserve">  --Understand the Value of Internal Audit in just 3 minutes!</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Pr>
          <w:rFonts w:ascii="Times New Roman" w:hAnsi="Times New Roman" w:cs="Times New Roman"/>
          <w:color w:val="000066"/>
          <w:sz w:val="24"/>
        </w:rPr>
        <w:t>Add the awareness logo to your e-mail signature and other communications</w:t>
      </w:r>
    </w:p>
    <w:p w:rsidR="002F2A34" w:rsidRDefault="002F2A34"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Promote IA via your </w:t>
      </w:r>
      <w:r>
        <w:rPr>
          <w:rFonts w:ascii="Times New Roman" w:hAnsi="Times New Roman" w:cs="Times New Roman"/>
          <w:color w:val="000066"/>
          <w:sz w:val="24"/>
        </w:rPr>
        <w:t xml:space="preserve">university and </w:t>
      </w:r>
      <w:r w:rsidRPr="005F03AD">
        <w:rPr>
          <w:rFonts w:ascii="Times New Roman" w:hAnsi="Times New Roman" w:cs="Times New Roman"/>
          <w:color w:val="000066"/>
          <w:sz w:val="24"/>
        </w:rPr>
        <w:t>local media –newsletter, radio station, idea corner</w:t>
      </w:r>
      <w:r>
        <w:rPr>
          <w:rFonts w:ascii="Times New Roman" w:hAnsi="Times New Roman" w:cs="Times New Roman"/>
          <w:color w:val="000066"/>
          <w:sz w:val="24"/>
        </w:rPr>
        <w:t>s</w:t>
      </w:r>
      <w:r w:rsidRPr="005F03AD">
        <w:rPr>
          <w:rFonts w:ascii="Times New Roman" w:hAnsi="Times New Roman" w:cs="Times New Roman"/>
          <w:color w:val="000066"/>
          <w:sz w:val="24"/>
        </w:rPr>
        <w:t>,</w:t>
      </w:r>
      <w:r>
        <w:rPr>
          <w:rFonts w:ascii="Times New Roman" w:hAnsi="Times New Roman" w:cs="Times New Roman"/>
          <w:color w:val="000066"/>
          <w:sz w:val="24"/>
        </w:rPr>
        <w:t xml:space="preserve"> campus monitors,</w:t>
      </w:r>
      <w:r w:rsidRPr="005F03AD">
        <w:rPr>
          <w:rFonts w:ascii="Times New Roman" w:hAnsi="Times New Roman" w:cs="Times New Roman"/>
          <w:color w:val="000066"/>
          <w:sz w:val="24"/>
        </w:rPr>
        <w:t xml:space="preserve"> etc.</w:t>
      </w:r>
    </w:p>
    <w:p w:rsidR="00CC560F" w:rsidRPr="005F03AD" w:rsidRDefault="00CC560F"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New employee orientation</w:t>
      </w:r>
      <w:r w:rsidR="00F51216" w:rsidRPr="005F03AD">
        <w:rPr>
          <w:rFonts w:ascii="Times New Roman" w:hAnsi="Times New Roman" w:cs="Times New Roman"/>
          <w:color w:val="000066"/>
          <w:sz w:val="24"/>
        </w:rPr>
        <w:t xml:space="preserve"> presentation</w:t>
      </w:r>
    </w:p>
    <w:p w:rsidR="00CC560F" w:rsidRPr="005F03AD" w:rsidRDefault="00F51216"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Organization n</w:t>
      </w:r>
      <w:r w:rsidR="00CC560F" w:rsidRPr="005F03AD">
        <w:rPr>
          <w:rFonts w:ascii="Times New Roman" w:hAnsi="Times New Roman" w:cs="Times New Roman"/>
          <w:color w:val="000066"/>
          <w:sz w:val="24"/>
        </w:rPr>
        <w:t>ewsletter</w:t>
      </w:r>
      <w:r w:rsidRPr="005F03AD">
        <w:rPr>
          <w:rFonts w:ascii="Times New Roman" w:hAnsi="Times New Roman" w:cs="Times New Roman"/>
          <w:color w:val="000066"/>
          <w:sz w:val="24"/>
        </w:rPr>
        <w:t xml:space="preserve"> or communications that provide IA tips and references the IA website</w:t>
      </w:r>
    </w:p>
    <w:p w:rsidR="00CC560F" w:rsidRPr="005F03AD" w:rsidRDefault="00CC560F"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Promote</w:t>
      </w:r>
      <w:r w:rsidR="00F51216" w:rsidRPr="005F03AD">
        <w:rPr>
          <w:rFonts w:ascii="Times New Roman" w:hAnsi="Times New Roman" w:cs="Times New Roman"/>
          <w:color w:val="000066"/>
          <w:sz w:val="24"/>
        </w:rPr>
        <w:t xml:space="preserve"> IA</w:t>
      </w:r>
      <w:r w:rsidRPr="005F03AD">
        <w:rPr>
          <w:rFonts w:ascii="Times New Roman" w:hAnsi="Times New Roman" w:cs="Times New Roman"/>
          <w:color w:val="000066"/>
          <w:sz w:val="24"/>
        </w:rPr>
        <w:t xml:space="preserve"> during the risk assessment</w:t>
      </w:r>
      <w:r w:rsidR="00F51216" w:rsidRPr="005F03AD">
        <w:rPr>
          <w:rFonts w:ascii="Times New Roman" w:hAnsi="Times New Roman" w:cs="Times New Roman"/>
          <w:color w:val="000066"/>
          <w:sz w:val="24"/>
        </w:rPr>
        <w:t xml:space="preserve"> process</w:t>
      </w:r>
      <w:r w:rsidRPr="005F03AD">
        <w:rPr>
          <w:rFonts w:ascii="Times New Roman" w:hAnsi="Times New Roman" w:cs="Times New Roman"/>
          <w:color w:val="000066"/>
          <w:sz w:val="24"/>
        </w:rPr>
        <w:t>,</w:t>
      </w:r>
      <w:r w:rsidR="00F51216" w:rsidRPr="005F03AD">
        <w:rPr>
          <w:rFonts w:ascii="Times New Roman" w:hAnsi="Times New Roman" w:cs="Times New Roman"/>
          <w:color w:val="000066"/>
          <w:sz w:val="24"/>
        </w:rPr>
        <w:t xml:space="preserve"> audit</w:t>
      </w:r>
      <w:r w:rsidRPr="005F03AD">
        <w:rPr>
          <w:rFonts w:ascii="Times New Roman" w:hAnsi="Times New Roman" w:cs="Times New Roman"/>
          <w:color w:val="000066"/>
          <w:sz w:val="24"/>
        </w:rPr>
        <w:t xml:space="preserve"> entrance and exit meeting</w:t>
      </w:r>
      <w:r w:rsidR="00F51216" w:rsidRPr="005F03AD">
        <w:rPr>
          <w:rFonts w:ascii="Times New Roman" w:hAnsi="Times New Roman" w:cs="Times New Roman"/>
          <w:color w:val="000066"/>
          <w:sz w:val="24"/>
        </w:rPr>
        <w:t>s</w:t>
      </w:r>
    </w:p>
    <w:p w:rsidR="00F51216" w:rsidRPr="005F03AD" w:rsidRDefault="00C400EA" w:rsidP="00F51216">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Provide</w:t>
      </w:r>
      <w:r w:rsidR="009F2CCF" w:rsidRPr="005F03AD">
        <w:rPr>
          <w:rFonts w:ascii="Times New Roman" w:hAnsi="Times New Roman" w:cs="Times New Roman"/>
          <w:color w:val="000066"/>
          <w:sz w:val="24"/>
        </w:rPr>
        <w:t xml:space="preserve"> training to audit </w:t>
      </w:r>
      <w:r w:rsidR="00F51216" w:rsidRPr="005F03AD">
        <w:rPr>
          <w:rFonts w:ascii="Times New Roman" w:hAnsi="Times New Roman" w:cs="Times New Roman"/>
          <w:color w:val="000066"/>
          <w:sz w:val="24"/>
        </w:rPr>
        <w:t xml:space="preserve">committee members </w:t>
      </w:r>
    </w:p>
    <w:p w:rsidR="00CC560F" w:rsidRPr="005F03AD" w:rsidRDefault="00CC560F"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Website</w:t>
      </w:r>
      <w:r w:rsidR="00F51216" w:rsidRPr="005F03AD">
        <w:rPr>
          <w:rFonts w:ascii="Times New Roman" w:hAnsi="Times New Roman" w:cs="Times New Roman"/>
          <w:color w:val="000066"/>
          <w:sz w:val="24"/>
        </w:rPr>
        <w:t xml:space="preserve"> –including operational and IT best practices, authority of IA, organization chart </w:t>
      </w:r>
    </w:p>
    <w:p w:rsidR="00CC560F" w:rsidRPr="005F03AD" w:rsidRDefault="00F51216"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Email signatures</w:t>
      </w:r>
    </w:p>
    <w:p w:rsidR="00CC560F" w:rsidRPr="005F03AD" w:rsidRDefault="00CC560F"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Provide </w:t>
      </w:r>
      <w:r w:rsidR="00C400EA" w:rsidRPr="005F03AD">
        <w:rPr>
          <w:rFonts w:ascii="Times New Roman" w:hAnsi="Times New Roman" w:cs="Times New Roman"/>
          <w:i/>
          <w:color w:val="000066"/>
          <w:sz w:val="24"/>
        </w:rPr>
        <w:t>IIA Tone at the Top</w:t>
      </w:r>
      <w:r w:rsidRPr="005F03AD">
        <w:rPr>
          <w:rFonts w:ascii="Times New Roman" w:hAnsi="Times New Roman" w:cs="Times New Roman"/>
          <w:color w:val="000066"/>
          <w:sz w:val="24"/>
        </w:rPr>
        <w:t xml:space="preserve"> to the board</w:t>
      </w:r>
      <w:r w:rsidR="00545B16" w:rsidRPr="005F03AD">
        <w:rPr>
          <w:rFonts w:ascii="Times New Roman" w:hAnsi="Times New Roman" w:cs="Times New Roman"/>
          <w:color w:val="000066"/>
          <w:sz w:val="24"/>
        </w:rPr>
        <w:t>, include information on various topics.</w:t>
      </w:r>
    </w:p>
    <w:p w:rsidR="001B3773" w:rsidRPr="005F03AD" w:rsidRDefault="001B3773"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Participate with campus activities </w:t>
      </w:r>
    </w:p>
    <w:p w:rsidR="001B3773" w:rsidRPr="005F03AD" w:rsidRDefault="001B3773" w:rsidP="00675744">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Orientation session with new board members</w:t>
      </w:r>
    </w:p>
    <w:p w:rsidR="001B3773" w:rsidRPr="005F03AD" w:rsidRDefault="001B3773" w:rsidP="00675744">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Presentations to students in various accounting courses taught at our universities</w:t>
      </w:r>
    </w:p>
    <w:p w:rsidR="001B3773" w:rsidRPr="005F03AD" w:rsidRDefault="001B3773"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Biannual meetings with CEOs/Presidents and their executive teams to discuss IA</w:t>
      </w:r>
    </w:p>
    <w:p w:rsidR="001B3773" w:rsidRPr="005F03AD" w:rsidRDefault="001B3773"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Attend, at least once a year, the periodic system-wide meetings for CFOs, CIOs, and Compliance Officers</w:t>
      </w:r>
    </w:p>
    <w:p w:rsidR="001B3773" w:rsidRPr="005F03AD" w:rsidRDefault="001B3773"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Training presentations during our members’ staff continuing education conferences</w:t>
      </w:r>
    </w:p>
    <w:p w:rsidR="001B3773" w:rsidRPr="005F03AD" w:rsidRDefault="001B3773" w:rsidP="001B3773">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Include an organization chart in your presentations –showing the IA reporting lines</w:t>
      </w:r>
    </w:p>
    <w:p w:rsidR="00675744" w:rsidRPr="005F03AD" w:rsidRDefault="00E22C36" w:rsidP="00675744">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Generate an </w:t>
      </w:r>
      <w:r w:rsidR="00675744" w:rsidRPr="005F03AD">
        <w:rPr>
          <w:rFonts w:ascii="Times New Roman" w:hAnsi="Times New Roman" w:cs="Times New Roman"/>
          <w:color w:val="000066"/>
          <w:sz w:val="24"/>
        </w:rPr>
        <w:t xml:space="preserve">Annual report documenting </w:t>
      </w:r>
      <w:r w:rsidRPr="005F03AD">
        <w:rPr>
          <w:rFonts w:ascii="Times New Roman" w:hAnsi="Times New Roman" w:cs="Times New Roman"/>
          <w:color w:val="000066"/>
          <w:sz w:val="24"/>
        </w:rPr>
        <w:t xml:space="preserve">IA </w:t>
      </w:r>
      <w:r w:rsidR="00675744" w:rsidRPr="005F03AD">
        <w:rPr>
          <w:rFonts w:ascii="Times New Roman" w:hAnsi="Times New Roman" w:cs="Times New Roman"/>
          <w:color w:val="000066"/>
          <w:sz w:val="24"/>
        </w:rPr>
        <w:t>accomplishments and accountability</w:t>
      </w:r>
    </w:p>
    <w:p w:rsidR="00C400EA" w:rsidRPr="005F03AD" w:rsidRDefault="00675744" w:rsidP="00675744">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Committee involvement</w:t>
      </w:r>
    </w:p>
    <w:p w:rsidR="00545B16" w:rsidRPr="005F03AD" w:rsidRDefault="00545B16" w:rsidP="00675744">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Remind clients and other stakeholders, that IA:</w:t>
      </w:r>
    </w:p>
    <w:p w:rsidR="00545B16" w:rsidRPr="005F03AD" w:rsidRDefault="00545B16" w:rsidP="00545B16">
      <w:pPr>
        <w:pStyle w:val="ListParagraph"/>
        <w:numPr>
          <w:ilvl w:val="1"/>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 Works with them as a team and in the best interest of the college/university</w:t>
      </w:r>
    </w:p>
    <w:p w:rsidR="00545B16" w:rsidRPr="005F03AD" w:rsidRDefault="00545B16" w:rsidP="00545B16">
      <w:pPr>
        <w:pStyle w:val="ListParagraph"/>
        <w:numPr>
          <w:ilvl w:val="1"/>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Understands the culture of the college/university</w:t>
      </w:r>
    </w:p>
    <w:p w:rsidR="00545B16" w:rsidRPr="005F03AD" w:rsidRDefault="00545B16" w:rsidP="00545B16">
      <w:pPr>
        <w:pStyle w:val="ListParagraph"/>
        <w:numPr>
          <w:ilvl w:val="1"/>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Promotes best practices to other business unit</w:t>
      </w:r>
      <w:r w:rsidR="00484BA5" w:rsidRPr="005F03AD">
        <w:rPr>
          <w:rFonts w:ascii="Times New Roman" w:hAnsi="Times New Roman" w:cs="Times New Roman"/>
          <w:color w:val="000066"/>
          <w:sz w:val="24"/>
        </w:rPr>
        <w:t>s</w:t>
      </w:r>
      <w:r w:rsidRPr="005F03AD">
        <w:rPr>
          <w:rFonts w:ascii="Times New Roman" w:hAnsi="Times New Roman" w:cs="Times New Roman"/>
          <w:color w:val="000066"/>
          <w:sz w:val="24"/>
        </w:rPr>
        <w:t>/departments</w:t>
      </w:r>
    </w:p>
    <w:p w:rsidR="00830CF2" w:rsidRPr="005F03AD" w:rsidRDefault="00830CF2" w:rsidP="00830CF2">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Provide management with trends on risks, deficiencies, &amp; underlying root causes</w:t>
      </w:r>
    </w:p>
    <w:p w:rsidR="00830CF2" w:rsidRPr="005F03AD" w:rsidRDefault="00830CF2" w:rsidP="00830CF2">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Offer to assist management with problem solving</w:t>
      </w:r>
      <w:r w:rsidR="003F4346" w:rsidRPr="005F03AD">
        <w:rPr>
          <w:rFonts w:ascii="Times New Roman" w:hAnsi="Times New Roman" w:cs="Times New Roman"/>
          <w:color w:val="000066"/>
          <w:sz w:val="24"/>
        </w:rPr>
        <w:t xml:space="preserve"> or interpreting policies in a consultative manner</w:t>
      </w:r>
    </w:p>
    <w:p w:rsidR="00830CF2" w:rsidRPr="005F03AD" w:rsidRDefault="00830CF2" w:rsidP="00830CF2">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Collaborate</w:t>
      </w:r>
    </w:p>
    <w:p w:rsidR="00830CF2" w:rsidRPr="005F03AD" w:rsidRDefault="009F2CCF" w:rsidP="00830CF2">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Provide management with tools to assist them with continuous monitoring</w:t>
      </w:r>
    </w:p>
    <w:p w:rsidR="00344CDB" w:rsidRPr="005F03AD" w:rsidRDefault="00344CDB" w:rsidP="0098230A">
      <w:pPr>
        <w:pStyle w:val="ListParagraph"/>
        <w:spacing w:before="100" w:beforeAutospacing="1" w:after="100" w:afterAutospacing="1" w:line="240" w:lineRule="exact"/>
        <w:ind w:left="0"/>
        <w:jc w:val="both"/>
        <w:rPr>
          <w:rFonts w:ascii="Times New Roman" w:hAnsi="Times New Roman" w:cs="Times New Roman"/>
          <w:b/>
          <w:color w:val="000066"/>
          <w:sz w:val="24"/>
        </w:rPr>
      </w:pPr>
      <w:bookmarkStart w:id="0" w:name="_GoBack"/>
      <w:bookmarkEnd w:id="0"/>
    </w:p>
    <w:p w:rsidR="00344CDB" w:rsidRPr="005F03AD" w:rsidRDefault="00344CDB" w:rsidP="0098230A">
      <w:pPr>
        <w:pStyle w:val="ListParagraph"/>
        <w:spacing w:before="100" w:beforeAutospacing="1" w:after="100" w:afterAutospacing="1" w:line="240" w:lineRule="exact"/>
        <w:ind w:left="0"/>
        <w:jc w:val="both"/>
        <w:rPr>
          <w:rFonts w:ascii="Times New Roman" w:hAnsi="Times New Roman" w:cs="Times New Roman"/>
          <w:b/>
          <w:color w:val="000066"/>
          <w:sz w:val="24"/>
        </w:rPr>
      </w:pPr>
    </w:p>
    <w:p w:rsidR="0098230A" w:rsidRPr="005F03AD" w:rsidRDefault="00422C3C" w:rsidP="0098230A">
      <w:pPr>
        <w:pStyle w:val="ListParagraph"/>
        <w:spacing w:before="100" w:beforeAutospacing="1" w:after="100" w:afterAutospacing="1" w:line="240" w:lineRule="exact"/>
        <w:ind w:left="0"/>
        <w:jc w:val="both"/>
        <w:rPr>
          <w:rFonts w:ascii="Times New Roman" w:hAnsi="Times New Roman" w:cs="Times New Roman"/>
          <w:b/>
          <w:color w:val="000066"/>
          <w:sz w:val="24"/>
        </w:rPr>
      </w:pPr>
      <w:r w:rsidRPr="005F03AD">
        <w:rPr>
          <w:rFonts w:ascii="Times New Roman" w:hAnsi="Times New Roman" w:cs="Times New Roman"/>
          <w:b/>
          <w:color w:val="000066"/>
          <w:sz w:val="24"/>
        </w:rPr>
        <w:t>Frequently Asked Questions</w:t>
      </w:r>
      <w:r w:rsidR="0098230A" w:rsidRPr="005F03AD">
        <w:rPr>
          <w:rFonts w:ascii="Times New Roman" w:hAnsi="Times New Roman" w:cs="Times New Roman"/>
          <w:b/>
          <w:color w:val="000066"/>
          <w:sz w:val="24"/>
        </w:rPr>
        <w:t xml:space="preserve">: </w:t>
      </w:r>
    </w:p>
    <w:p w:rsidR="00F51216" w:rsidRPr="005F03AD" w:rsidRDefault="00F51216" w:rsidP="00F51216">
      <w:p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Consider addressing these common questions for your organization: </w:t>
      </w:r>
    </w:p>
    <w:p w:rsidR="00F51216" w:rsidRPr="005F03AD" w:rsidRDefault="00F51216" w:rsidP="0098230A">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What does Internal Audit do? </w:t>
      </w:r>
    </w:p>
    <w:p w:rsidR="00F51216" w:rsidRPr="005F03AD" w:rsidRDefault="00F51216" w:rsidP="0098230A">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What is the authority of Internal Audit?</w:t>
      </w:r>
    </w:p>
    <w:p w:rsidR="00F51216" w:rsidRPr="005F03AD" w:rsidRDefault="00C400EA" w:rsidP="0098230A">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How does internal audit differ</w:t>
      </w:r>
      <w:r w:rsidR="00F51216" w:rsidRPr="005F03AD">
        <w:rPr>
          <w:rFonts w:ascii="Times New Roman" w:hAnsi="Times New Roman" w:cs="Times New Roman"/>
          <w:color w:val="000066"/>
          <w:sz w:val="24"/>
        </w:rPr>
        <w:t xml:space="preserve"> from external audit? </w:t>
      </w:r>
    </w:p>
    <w:p w:rsidR="0098230A" w:rsidRPr="005F03AD" w:rsidRDefault="00F51216" w:rsidP="0098230A">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For the IA Hotline:  </w:t>
      </w:r>
      <w:r w:rsidR="0098230A" w:rsidRPr="005F03AD">
        <w:rPr>
          <w:rFonts w:ascii="Times New Roman" w:hAnsi="Times New Roman" w:cs="Times New Roman"/>
          <w:color w:val="000066"/>
          <w:sz w:val="24"/>
        </w:rPr>
        <w:t>How many reports to you receive per year?  What types of reports to you receive?</w:t>
      </w:r>
    </w:p>
    <w:p w:rsidR="0098230A" w:rsidRPr="005F03AD" w:rsidRDefault="0098230A" w:rsidP="0098230A">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How does IA decide </w:t>
      </w:r>
      <w:r w:rsidR="00C400EA" w:rsidRPr="005F03AD">
        <w:rPr>
          <w:rFonts w:ascii="Times New Roman" w:hAnsi="Times New Roman" w:cs="Times New Roman"/>
          <w:color w:val="000066"/>
          <w:sz w:val="24"/>
        </w:rPr>
        <w:t>who</w:t>
      </w:r>
      <w:r w:rsidRPr="005F03AD">
        <w:rPr>
          <w:rFonts w:ascii="Times New Roman" w:hAnsi="Times New Roman" w:cs="Times New Roman"/>
          <w:color w:val="000066"/>
          <w:sz w:val="24"/>
        </w:rPr>
        <w:t>/what to audit?</w:t>
      </w:r>
    </w:p>
    <w:p w:rsidR="00F51216" w:rsidRPr="005F03AD" w:rsidRDefault="0098230A" w:rsidP="00F51216">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How can business units be ‘audit ready’?</w:t>
      </w:r>
    </w:p>
    <w:p w:rsidR="00F51216" w:rsidRPr="005F03AD" w:rsidRDefault="00F51216" w:rsidP="00F51216">
      <w:pPr>
        <w:pStyle w:val="ListParagraph"/>
        <w:numPr>
          <w:ilvl w:val="0"/>
          <w:numId w:val="1"/>
        </w:numPr>
        <w:spacing w:before="100" w:beforeAutospacing="1" w:after="100" w:afterAutospacing="1"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Who receives audit reports?</w:t>
      </w:r>
    </w:p>
    <w:p w:rsidR="00F51216" w:rsidRPr="005F03AD" w:rsidRDefault="00F51216" w:rsidP="00F51216">
      <w:pPr>
        <w:spacing w:after="0"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Other questions can be found at the Institute of Internal Auditors website:</w:t>
      </w:r>
    </w:p>
    <w:p w:rsidR="00F51216" w:rsidRPr="005F03AD" w:rsidRDefault="00F51216" w:rsidP="00F51216">
      <w:pPr>
        <w:spacing w:after="0" w:line="240" w:lineRule="exact"/>
        <w:jc w:val="both"/>
        <w:rPr>
          <w:rFonts w:ascii="Times New Roman" w:hAnsi="Times New Roman" w:cs="Times New Roman"/>
          <w:color w:val="000066"/>
          <w:sz w:val="24"/>
        </w:rPr>
      </w:pPr>
      <w:r w:rsidRPr="005F03AD">
        <w:rPr>
          <w:rFonts w:ascii="Times New Roman" w:hAnsi="Times New Roman" w:cs="Times New Roman"/>
          <w:color w:val="000066"/>
          <w:sz w:val="24"/>
        </w:rPr>
        <w:t xml:space="preserve">Internal Audit FAQs: </w:t>
      </w:r>
      <w:hyperlink r:id="rId10" w:history="1">
        <w:r w:rsidRPr="005F03AD">
          <w:rPr>
            <w:rStyle w:val="Hyperlink"/>
            <w:rFonts w:ascii="Times New Roman" w:hAnsi="Times New Roman" w:cs="Times New Roman"/>
            <w:sz w:val="24"/>
          </w:rPr>
          <w:t>https://na.theiia.org/about-us/about-ia/Pages/frequently-asked-questions.aspx</w:t>
        </w:r>
      </w:hyperlink>
    </w:p>
    <w:p w:rsidR="002565AF" w:rsidRPr="005F03AD" w:rsidRDefault="002565AF" w:rsidP="00344CDB">
      <w:pPr>
        <w:spacing w:before="100" w:beforeAutospacing="1" w:after="100" w:afterAutospacing="1" w:line="240" w:lineRule="exact"/>
        <w:rPr>
          <w:rFonts w:ascii="Times New Roman" w:hAnsi="Times New Roman" w:cs="Times New Roman"/>
          <w:b/>
          <w:color w:val="000066"/>
          <w:sz w:val="24"/>
        </w:rPr>
      </w:pPr>
      <w:r w:rsidRPr="005F03AD">
        <w:rPr>
          <w:rFonts w:ascii="Times New Roman" w:hAnsi="Times New Roman" w:cs="Times New Roman"/>
          <w:b/>
          <w:color w:val="000066"/>
          <w:sz w:val="24"/>
        </w:rPr>
        <w:t xml:space="preserve">Useful Resources: </w:t>
      </w:r>
    </w:p>
    <w:p w:rsidR="00344CDB" w:rsidRPr="005F03AD" w:rsidRDefault="00344CDB" w:rsidP="00344CDB">
      <w:pPr>
        <w:pStyle w:val="ListParagraph"/>
        <w:numPr>
          <w:ilvl w:val="0"/>
          <w:numId w:val="1"/>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 xml:space="preserve">ACUA: </w:t>
      </w:r>
    </w:p>
    <w:p w:rsidR="00344CDB" w:rsidRPr="005F03AD" w:rsidRDefault="00344CDB" w:rsidP="00344CDB">
      <w:pPr>
        <w:pStyle w:val="ListParagraph"/>
        <w:numPr>
          <w:ilvl w:val="1"/>
          <w:numId w:val="1"/>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 xml:space="preserve">Promoting Internal Audit: </w:t>
      </w:r>
      <w:hyperlink r:id="rId11" w:history="1">
        <w:r w:rsidRPr="005F03AD">
          <w:rPr>
            <w:rStyle w:val="Hyperlink"/>
            <w:rFonts w:ascii="Times New Roman" w:hAnsi="Times New Roman" w:cs="Times New Roman"/>
            <w:sz w:val="24"/>
          </w:rPr>
          <w:t>http://www.acua.org/ACUA_Resources/Promoting_Internal_Audit.asp</w:t>
        </w:r>
      </w:hyperlink>
    </w:p>
    <w:p w:rsidR="00344CDB" w:rsidRPr="005F03AD" w:rsidRDefault="00344CDB" w:rsidP="00344CDB">
      <w:pPr>
        <w:pStyle w:val="ListParagraph"/>
        <w:spacing w:before="100" w:beforeAutospacing="1" w:after="100" w:afterAutospacing="1" w:line="240" w:lineRule="exact"/>
        <w:ind w:left="1440"/>
        <w:rPr>
          <w:rFonts w:ascii="Times New Roman" w:hAnsi="Times New Roman" w:cs="Times New Roman"/>
          <w:color w:val="000066"/>
          <w:sz w:val="24"/>
        </w:rPr>
      </w:pPr>
    </w:p>
    <w:p w:rsidR="00344CDB" w:rsidRPr="005F03AD" w:rsidRDefault="00344CDB" w:rsidP="00344CDB">
      <w:pPr>
        <w:pStyle w:val="ListParagraph"/>
        <w:numPr>
          <w:ilvl w:val="1"/>
          <w:numId w:val="1"/>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 xml:space="preserve">Understand the Value of Internal Audit in just 3 minutes! -- </w:t>
      </w:r>
      <w:hyperlink r:id="rId12" w:history="1">
        <w:r w:rsidRPr="005F03AD">
          <w:rPr>
            <w:rStyle w:val="Hyperlink"/>
            <w:rFonts w:ascii="Times New Roman" w:hAnsi="Times New Roman" w:cs="Times New Roman"/>
            <w:sz w:val="24"/>
          </w:rPr>
          <w:t>www.acua.org/movie</w:t>
        </w:r>
      </w:hyperlink>
      <w:r w:rsidRPr="005F03AD">
        <w:rPr>
          <w:rFonts w:ascii="Times New Roman" w:hAnsi="Times New Roman" w:cs="Times New Roman"/>
          <w:color w:val="000066"/>
          <w:sz w:val="24"/>
        </w:rPr>
        <w:t xml:space="preserve">  </w:t>
      </w:r>
    </w:p>
    <w:p w:rsidR="00344CDB" w:rsidRPr="005F03AD" w:rsidRDefault="00344CDB" w:rsidP="00344CDB">
      <w:pPr>
        <w:pStyle w:val="ListParagraph"/>
        <w:spacing w:before="100" w:beforeAutospacing="1" w:after="100" w:afterAutospacing="1" w:line="240" w:lineRule="exact"/>
        <w:ind w:left="1440"/>
        <w:rPr>
          <w:rFonts w:ascii="Times New Roman" w:hAnsi="Times New Roman" w:cs="Times New Roman"/>
          <w:color w:val="000066"/>
          <w:sz w:val="24"/>
        </w:rPr>
      </w:pPr>
    </w:p>
    <w:p w:rsidR="00C36851" w:rsidRPr="005F03AD" w:rsidRDefault="002565AF" w:rsidP="00344CDB">
      <w:pPr>
        <w:pStyle w:val="ListParagraph"/>
        <w:numPr>
          <w:ilvl w:val="0"/>
          <w:numId w:val="1"/>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The Institute of Internal Auditors</w:t>
      </w:r>
      <w:r w:rsidR="000B740C" w:rsidRPr="005F03AD">
        <w:rPr>
          <w:rFonts w:ascii="Times New Roman" w:hAnsi="Times New Roman" w:cs="Times New Roman"/>
          <w:color w:val="000066"/>
          <w:sz w:val="24"/>
        </w:rPr>
        <w:t>:</w:t>
      </w:r>
    </w:p>
    <w:p w:rsidR="005A3C40" w:rsidRPr="005F03AD" w:rsidRDefault="005A3C40" w:rsidP="00344CDB">
      <w:pPr>
        <w:pStyle w:val="ListParagraph"/>
        <w:spacing w:before="100" w:beforeAutospacing="1" w:after="100" w:afterAutospacing="1" w:line="240" w:lineRule="exact"/>
        <w:ind w:left="1440"/>
        <w:rPr>
          <w:rFonts w:ascii="Times New Roman" w:hAnsi="Times New Roman" w:cs="Times New Roman"/>
          <w:color w:val="000066"/>
          <w:sz w:val="24"/>
        </w:rPr>
      </w:pPr>
    </w:p>
    <w:p w:rsidR="0009755D" w:rsidRPr="005F03AD" w:rsidRDefault="0009755D" w:rsidP="0009755D">
      <w:pPr>
        <w:pStyle w:val="ListParagraph"/>
        <w:numPr>
          <w:ilvl w:val="0"/>
          <w:numId w:val="6"/>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Internal Audit:  Adding Value Across the Board –</w:t>
      </w:r>
    </w:p>
    <w:p w:rsidR="0009755D" w:rsidRPr="005F03AD" w:rsidRDefault="002F2A34" w:rsidP="0009755D">
      <w:pPr>
        <w:pStyle w:val="ListParagraph"/>
        <w:spacing w:before="100" w:beforeAutospacing="1" w:after="100" w:afterAutospacing="1" w:line="240" w:lineRule="exact"/>
        <w:ind w:left="1440"/>
        <w:rPr>
          <w:rFonts w:ascii="Times New Roman" w:hAnsi="Times New Roman" w:cs="Times New Roman"/>
          <w:color w:val="000066"/>
          <w:sz w:val="24"/>
        </w:rPr>
      </w:pPr>
      <w:hyperlink r:id="rId13" w:history="1">
        <w:r w:rsidR="0009755D" w:rsidRPr="005F03AD">
          <w:rPr>
            <w:rStyle w:val="Hyperlink"/>
            <w:rFonts w:ascii="Times New Roman" w:hAnsi="Times New Roman" w:cs="Times New Roman"/>
            <w:sz w:val="24"/>
          </w:rPr>
          <w:t>https://na.theiia.org/about-ia/PublicDocuments/Internal_Auditing-Adding_Value_Across_the_Board.pdf</w:t>
        </w:r>
      </w:hyperlink>
    </w:p>
    <w:p w:rsidR="0009755D" w:rsidRPr="005F03AD" w:rsidRDefault="0009755D" w:rsidP="0009755D">
      <w:pPr>
        <w:pStyle w:val="ListParagraph"/>
        <w:numPr>
          <w:ilvl w:val="1"/>
          <w:numId w:val="2"/>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 xml:space="preserve">Three-Lines of Defense in Effective Risk Management and Control:  </w:t>
      </w:r>
      <w:hyperlink r:id="rId14" w:history="1">
        <w:r w:rsidRPr="005F03AD">
          <w:rPr>
            <w:rStyle w:val="Hyperlink"/>
            <w:rFonts w:ascii="Times New Roman" w:hAnsi="Times New Roman" w:cs="Times New Roman"/>
            <w:sz w:val="24"/>
          </w:rPr>
          <w:t>https://na.theiia.org/standards-guidance/Public%20Documents/PP%20The%20Three%20Lines%20of%20Defense%20in%20Effective%20Risk%20Management%20and%20Control.pdf</w:t>
        </w:r>
      </w:hyperlink>
    </w:p>
    <w:p w:rsidR="0009755D" w:rsidRPr="005F03AD" w:rsidRDefault="0009755D" w:rsidP="0009755D">
      <w:pPr>
        <w:pStyle w:val="ListParagraph"/>
        <w:numPr>
          <w:ilvl w:val="1"/>
          <w:numId w:val="2"/>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 xml:space="preserve">Five classic Myths About Internal Auditing: </w:t>
      </w:r>
      <w:hyperlink r:id="rId15" w:history="1">
        <w:r w:rsidRPr="005F03AD">
          <w:rPr>
            <w:rStyle w:val="Hyperlink"/>
            <w:rFonts w:ascii="Times New Roman" w:hAnsi="Times New Roman" w:cs="Times New Roman"/>
            <w:sz w:val="24"/>
          </w:rPr>
          <w:t>https://iaonline.theiia.org/five-classic-myths-about-internal-auditing</w:t>
        </w:r>
      </w:hyperlink>
    </w:p>
    <w:p w:rsidR="002565AF" w:rsidRPr="005F03AD" w:rsidRDefault="002565AF" w:rsidP="00344CDB">
      <w:pPr>
        <w:pStyle w:val="ListParagraph"/>
        <w:numPr>
          <w:ilvl w:val="1"/>
          <w:numId w:val="2"/>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 xml:space="preserve">International Audit Awareness Month Building Awareness Toolkit -- </w:t>
      </w:r>
      <w:hyperlink r:id="rId16" w:history="1">
        <w:r w:rsidRPr="005F03AD">
          <w:rPr>
            <w:rStyle w:val="Hyperlink"/>
            <w:rFonts w:ascii="Times New Roman" w:hAnsi="Times New Roman" w:cs="Times New Roman"/>
            <w:sz w:val="24"/>
          </w:rPr>
          <w:t>https://na.theiia.org/about-us/about-ia/Pages/International-Internal-Audit-Awareness-Month.aspx</w:t>
        </w:r>
      </w:hyperlink>
    </w:p>
    <w:p w:rsidR="00C400EA" w:rsidRPr="005F03AD" w:rsidRDefault="00C400EA" w:rsidP="00344CDB">
      <w:pPr>
        <w:pStyle w:val="ListParagraph"/>
        <w:numPr>
          <w:ilvl w:val="1"/>
          <w:numId w:val="2"/>
        </w:numPr>
        <w:spacing w:before="100" w:beforeAutospacing="1" w:after="100" w:afterAutospacing="1" w:line="240" w:lineRule="exact"/>
        <w:rPr>
          <w:rFonts w:ascii="Times New Roman" w:hAnsi="Times New Roman" w:cs="Times New Roman"/>
          <w:color w:val="000066"/>
          <w:sz w:val="24"/>
        </w:rPr>
      </w:pPr>
      <w:r w:rsidRPr="005F03AD">
        <w:rPr>
          <w:rFonts w:ascii="Times New Roman" w:hAnsi="Times New Roman" w:cs="Times New Roman"/>
          <w:color w:val="000066"/>
          <w:sz w:val="24"/>
        </w:rPr>
        <w:t xml:space="preserve">Building Awareness Toolkit:  </w:t>
      </w:r>
      <w:hyperlink r:id="rId17" w:history="1">
        <w:r w:rsidRPr="005F03AD">
          <w:rPr>
            <w:rStyle w:val="Hyperlink"/>
            <w:rFonts w:ascii="Times New Roman" w:hAnsi="Times New Roman" w:cs="Times New Roman"/>
            <w:sz w:val="24"/>
          </w:rPr>
          <w:t>https://na.theiia.org/about-ia/PublicDocuments/Building%20Awareness%20Toolkit%20NA.pdf</w:t>
        </w:r>
      </w:hyperlink>
    </w:p>
    <w:p w:rsidR="00001D4C" w:rsidRPr="005F03AD" w:rsidRDefault="00001D4C" w:rsidP="00344CDB">
      <w:pPr>
        <w:pStyle w:val="ListParagraph"/>
        <w:spacing w:before="100" w:beforeAutospacing="1" w:after="100" w:afterAutospacing="1" w:line="240" w:lineRule="exact"/>
        <w:ind w:left="1440"/>
        <w:rPr>
          <w:rFonts w:ascii="Times New Roman" w:hAnsi="Times New Roman" w:cs="Times New Roman"/>
          <w:color w:val="000066"/>
          <w:sz w:val="24"/>
        </w:rPr>
      </w:pPr>
    </w:p>
    <w:p w:rsidR="00023ECC" w:rsidRPr="005F03AD" w:rsidRDefault="00023ECC" w:rsidP="00344CDB">
      <w:pPr>
        <w:spacing w:before="100" w:beforeAutospacing="1" w:after="100" w:afterAutospacing="1" w:line="240" w:lineRule="exact"/>
        <w:rPr>
          <w:rFonts w:ascii="Times New Roman" w:hAnsi="Times New Roman" w:cs="Times New Roman"/>
          <w:b/>
          <w:color w:val="000066"/>
          <w:sz w:val="24"/>
        </w:rPr>
      </w:pPr>
    </w:p>
    <w:p w:rsidR="006F7A5A" w:rsidRPr="005F03AD" w:rsidRDefault="006F7A5A" w:rsidP="00344CDB">
      <w:pPr>
        <w:spacing w:before="100" w:beforeAutospacing="1" w:after="100" w:afterAutospacing="1" w:line="240" w:lineRule="exact"/>
        <w:rPr>
          <w:rFonts w:ascii="Times New Roman" w:hAnsi="Times New Roman" w:cs="Times New Roman"/>
          <w:b/>
          <w:color w:val="000066"/>
          <w:sz w:val="24"/>
        </w:rPr>
      </w:pPr>
    </w:p>
    <w:p w:rsidR="00023ECC" w:rsidRPr="005F03AD" w:rsidRDefault="00023ECC" w:rsidP="00344CDB">
      <w:pPr>
        <w:spacing w:before="100" w:beforeAutospacing="1" w:after="100" w:afterAutospacing="1" w:line="240" w:lineRule="exact"/>
        <w:rPr>
          <w:rFonts w:ascii="Times New Roman" w:hAnsi="Times New Roman" w:cs="Times New Roman"/>
          <w:b/>
          <w:color w:val="000066"/>
          <w:sz w:val="24"/>
        </w:rPr>
      </w:pPr>
    </w:p>
    <w:p w:rsidR="006402A1" w:rsidRPr="00C243A6" w:rsidRDefault="006402A1" w:rsidP="00344CDB">
      <w:pPr>
        <w:spacing w:before="100" w:beforeAutospacing="1" w:after="100" w:afterAutospacing="1" w:line="240" w:lineRule="exact"/>
        <w:rPr>
          <w:rFonts w:ascii="Times New Roman" w:hAnsi="Times New Roman" w:cs="Times New Roman"/>
          <w:b/>
          <w:color w:val="000066"/>
          <w:sz w:val="24"/>
        </w:rPr>
      </w:pPr>
      <w:r w:rsidRPr="005F03AD">
        <w:rPr>
          <w:rFonts w:ascii="Times New Roman" w:hAnsi="Times New Roman" w:cs="Times New Roman"/>
          <w:b/>
          <w:color w:val="000066"/>
          <w:sz w:val="24"/>
        </w:rPr>
        <w:lastRenderedPageBreak/>
        <w:t>Other Resources/Articles:</w:t>
      </w:r>
    </w:p>
    <w:p w:rsidR="00545B16" w:rsidRPr="00C243A6" w:rsidRDefault="006402A1" w:rsidP="00344CDB">
      <w:pPr>
        <w:pStyle w:val="ListParagraph"/>
        <w:numPr>
          <w:ilvl w:val="0"/>
          <w:numId w:val="3"/>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Internal Auditor Magazine:</w:t>
      </w:r>
    </w:p>
    <w:p w:rsidR="006402A1" w:rsidRPr="00C243A6" w:rsidRDefault="006402A1" w:rsidP="00344CDB">
      <w:pPr>
        <w:pStyle w:val="ListParagraph"/>
        <w:numPr>
          <w:ilvl w:val="1"/>
          <w:numId w:val="5"/>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 xml:space="preserve">Gauging the Value of Internal Audit (February 2015) </w:t>
      </w:r>
      <w:hyperlink r:id="rId18" w:history="1">
        <w:r w:rsidRPr="00C243A6">
          <w:rPr>
            <w:rStyle w:val="Hyperlink"/>
            <w:rFonts w:ascii="Times New Roman" w:hAnsi="Times New Roman" w:cs="Times New Roman"/>
            <w:sz w:val="24"/>
          </w:rPr>
          <w:t>https://iaonline.theiia.org/2015/Pages/Gauging-the-Value-of-Internal-Audit.aspx</w:t>
        </w:r>
      </w:hyperlink>
    </w:p>
    <w:p w:rsidR="006402A1" w:rsidRPr="00C243A6" w:rsidRDefault="006402A1" w:rsidP="00344CDB">
      <w:pPr>
        <w:pStyle w:val="ListParagraph"/>
        <w:numPr>
          <w:ilvl w:val="1"/>
          <w:numId w:val="5"/>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 xml:space="preserve">5 Resolutions for Every Internal Auditor’s list in 2015 (January 2015) </w:t>
      </w:r>
      <w:hyperlink r:id="rId19" w:history="1">
        <w:r w:rsidRPr="00C243A6">
          <w:rPr>
            <w:rStyle w:val="Hyperlink"/>
            <w:rFonts w:ascii="Times New Roman" w:hAnsi="Times New Roman" w:cs="Times New Roman"/>
            <w:sz w:val="24"/>
          </w:rPr>
          <w:t>https://iaonline.theiia.org/5-resolutions-for-every-internal-auditors-list-in-2015</w:t>
        </w:r>
      </w:hyperlink>
    </w:p>
    <w:p w:rsidR="00344CDB" w:rsidRPr="00C243A6" w:rsidRDefault="00344CDB" w:rsidP="00344CDB">
      <w:pPr>
        <w:pStyle w:val="ListParagraph"/>
        <w:spacing w:before="100" w:beforeAutospacing="1" w:after="100" w:afterAutospacing="1" w:line="240" w:lineRule="exact"/>
        <w:rPr>
          <w:rFonts w:ascii="Times New Roman" w:hAnsi="Times New Roman" w:cs="Times New Roman"/>
          <w:color w:val="000066"/>
          <w:sz w:val="24"/>
        </w:rPr>
      </w:pPr>
    </w:p>
    <w:p w:rsidR="00E41BCA" w:rsidRPr="00C243A6" w:rsidRDefault="00E41BCA" w:rsidP="00344CDB">
      <w:pPr>
        <w:pStyle w:val="ListParagraph"/>
        <w:spacing w:before="100" w:beforeAutospacing="1" w:after="100" w:afterAutospacing="1" w:line="240" w:lineRule="exact"/>
        <w:rPr>
          <w:rFonts w:ascii="Times New Roman" w:hAnsi="Times New Roman" w:cs="Times New Roman"/>
          <w:color w:val="000066"/>
          <w:sz w:val="24"/>
        </w:rPr>
      </w:pPr>
    </w:p>
    <w:p w:rsidR="009623BA" w:rsidRPr="00C243A6" w:rsidRDefault="006402A1" w:rsidP="00344CDB">
      <w:pPr>
        <w:pStyle w:val="ListParagraph"/>
        <w:numPr>
          <w:ilvl w:val="0"/>
          <w:numId w:val="3"/>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 xml:space="preserve"> </w:t>
      </w:r>
      <w:r w:rsidR="00545B16" w:rsidRPr="00C243A6">
        <w:rPr>
          <w:rFonts w:ascii="Times New Roman" w:hAnsi="Times New Roman" w:cs="Times New Roman"/>
          <w:color w:val="000066"/>
          <w:sz w:val="24"/>
        </w:rPr>
        <w:t>Tone at the Top</w:t>
      </w:r>
      <w:r w:rsidR="00344CDB" w:rsidRPr="00C243A6">
        <w:rPr>
          <w:rFonts w:ascii="Times New Roman" w:hAnsi="Times New Roman" w:cs="Times New Roman"/>
          <w:color w:val="000066"/>
          <w:sz w:val="24"/>
        </w:rPr>
        <w:t xml:space="preserve">: </w:t>
      </w:r>
    </w:p>
    <w:p w:rsidR="00B97432" w:rsidRPr="004E6D58" w:rsidRDefault="0016376F" w:rsidP="003D79B7">
      <w:pPr>
        <w:pStyle w:val="ListParagraph"/>
        <w:numPr>
          <w:ilvl w:val="1"/>
          <w:numId w:val="3"/>
        </w:numPr>
        <w:spacing w:before="100" w:beforeAutospacing="1" w:after="100" w:afterAutospacing="1" w:line="240" w:lineRule="exact"/>
        <w:rPr>
          <w:rFonts w:ascii="Times New Roman" w:hAnsi="Times New Roman" w:cs="Times New Roman"/>
          <w:color w:val="000066"/>
          <w:sz w:val="24"/>
        </w:rPr>
      </w:pPr>
      <w:r w:rsidRPr="004E6D58">
        <w:rPr>
          <w:rFonts w:ascii="Times New Roman" w:hAnsi="Times New Roman" w:cs="Times New Roman"/>
          <w:color w:val="000066"/>
          <w:sz w:val="24"/>
        </w:rPr>
        <w:t xml:space="preserve">Organizational Culture: </w:t>
      </w:r>
    </w:p>
    <w:p w:rsidR="0016376F" w:rsidRPr="00C243A6" w:rsidRDefault="002F2A34" w:rsidP="0016376F">
      <w:pPr>
        <w:pStyle w:val="ListParagraph"/>
        <w:spacing w:before="100" w:beforeAutospacing="1" w:after="100" w:afterAutospacing="1" w:line="240" w:lineRule="exact"/>
        <w:ind w:left="1440"/>
        <w:rPr>
          <w:rFonts w:ascii="Times New Roman" w:hAnsi="Times New Roman" w:cs="Times New Roman"/>
          <w:color w:val="000066"/>
          <w:sz w:val="24"/>
        </w:rPr>
      </w:pPr>
      <w:hyperlink r:id="rId20" w:history="1">
        <w:r w:rsidR="0016376F" w:rsidRPr="004E6D58">
          <w:rPr>
            <w:rStyle w:val="Hyperlink"/>
            <w:rFonts w:ascii="Times New Roman" w:hAnsi="Times New Roman" w:cs="Times New Roman"/>
            <w:sz w:val="24"/>
          </w:rPr>
          <w:t>https://na.theiia.org/periodicals/Public%20Documents/TaT-February-2016.pdf</w:t>
        </w:r>
      </w:hyperlink>
    </w:p>
    <w:p w:rsidR="005E636E" w:rsidRPr="00C243A6" w:rsidRDefault="009623BA" w:rsidP="003D79B7">
      <w:pPr>
        <w:pStyle w:val="ListParagraph"/>
        <w:numPr>
          <w:ilvl w:val="1"/>
          <w:numId w:val="3"/>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 xml:space="preserve">Cyber Security:  </w:t>
      </w:r>
      <w:hyperlink r:id="rId21" w:history="1">
        <w:r w:rsidR="00344CDB" w:rsidRPr="00C243A6">
          <w:rPr>
            <w:rStyle w:val="Hyperlink"/>
            <w:rFonts w:ascii="Times New Roman" w:hAnsi="Times New Roman" w:cs="Times New Roman"/>
            <w:sz w:val="24"/>
          </w:rPr>
          <w:t>https://na.theiia.org/periodicals/Public%20Documents/TAT_November_December_2014.pdf</w:t>
        </w:r>
      </w:hyperlink>
    </w:p>
    <w:p w:rsidR="005E636E" w:rsidRPr="00C243A6" w:rsidRDefault="009623BA" w:rsidP="003D79B7">
      <w:pPr>
        <w:pStyle w:val="ListParagraph"/>
        <w:numPr>
          <w:ilvl w:val="1"/>
          <w:numId w:val="3"/>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 xml:space="preserve">The Tactful Skeptic: </w:t>
      </w:r>
    </w:p>
    <w:p w:rsidR="005E636E" w:rsidRPr="00C243A6" w:rsidRDefault="002F2A34" w:rsidP="003D79B7">
      <w:pPr>
        <w:pStyle w:val="ListParagraph"/>
        <w:spacing w:before="100" w:beforeAutospacing="1" w:after="100" w:afterAutospacing="1" w:line="240" w:lineRule="exact"/>
        <w:ind w:left="1440"/>
        <w:rPr>
          <w:rFonts w:ascii="Times New Roman" w:hAnsi="Times New Roman" w:cs="Times New Roman"/>
          <w:color w:val="000066"/>
          <w:sz w:val="24"/>
        </w:rPr>
      </w:pPr>
      <w:hyperlink r:id="rId22" w:history="1">
        <w:r w:rsidR="009623BA" w:rsidRPr="00C243A6">
          <w:rPr>
            <w:rStyle w:val="Hyperlink"/>
            <w:rFonts w:ascii="Times New Roman" w:hAnsi="Times New Roman" w:cs="Times New Roman"/>
            <w:sz w:val="24"/>
          </w:rPr>
          <w:t>https://na.theiia.org/periodicals/Public%20Documents/TAT-Jan-Feb-2015.pdf</w:t>
        </w:r>
      </w:hyperlink>
    </w:p>
    <w:p w:rsidR="00344CDB" w:rsidRPr="00C243A6" w:rsidRDefault="00344CDB" w:rsidP="00B01D27">
      <w:pPr>
        <w:spacing w:before="100" w:beforeAutospacing="1" w:after="100" w:afterAutospacing="1" w:line="240" w:lineRule="exact"/>
        <w:rPr>
          <w:rFonts w:ascii="Times New Roman" w:hAnsi="Times New Roman" w:cs="Times New Roman"/>
          <w:color w:val="000066"/>
          <w:sz w:val="24"/>
          <w:highlight w:val="yellow"/>
        </w:rPr>
      </w:pPr>
    </w:p>
    <w:p w:rsidR="005E636E" w:rsidRPr="00C243A6" w:rsidRDefault="00B01D27" w:rsidP="003D79B7">
      <w:pPr>
        <w:pStyle w:val="ListParagraph"/>
        <w:numPr>
          <w:ilvl w:val="0"/>
          <w:numId w:val="1"/>
        </w:numPr>
        <w:tabs>
          <w:tab w:val="left" w:pos="1440"/>
        </w:tabs>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 xml:space="preserve">Tips: </w:t>
      </w:r>
    </w:p>
    <w:p w:rsidR="00B01D27" w:rsidRPr="00C243A6" w:rsidRDefault="00B01D27" w:rsidP="00B01D27">
      <w:pPr>
        <w:pStyle w:val="ListParagraph"/>
        <w:numPr>
          <w:ilvl w:val="1"/>
          <w:numId w:val="1"/>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Remind business units to check out your Internal Audit website, visit or call your institutions’ Chief Audit Executive for consultation/advice when facing a unique situation.</w:t>
      </w:r>
    </w:p>
    <w:p w:rsidR="00B01D27" w:rsidRPr="00C243A6" w:rsidRDefault="00B01D27" w:rsidP="00B01D27">
      <w:pPr>
        <w:pStyle w:val="ListParagraph"/>
        <w:spacing w:before="100" w:beforeAutospacing="1" w:after="100" w:afterAutospacing="1" w:line="240" w:lineRule="exact"/>
        <w:ind w:left="1440"/>
        <w:rPr>
          <w:rFonts w:ascii="Times New Roman" w:hAnsi="Times New Roman" w:cs="Times New Roman"/>
          <w:color w:val="000066"/>
          <w:sz w:val="24"/>
        </w:rPr>
      </w:pPr>
    </w:p>
    <w:p w:rsidR="003F4346" w:rsidRPr="00C243A6" w:rsidRDefault="00B01D27" w:rsidP="003F4346">
      <w:pPr>
        <w:pStyle w:val="ListParagraph"/>
        <w:numPr>
          <w:ilvl w:val="1"/>
          <w:numId w:val="1"/>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Share best practices</w:t>
      </w:r>
    </w:p>
    <w:p w:rsidR="003F4346" w:rsidRPr="00C243A6" w:rsidRDefault="003F4346" w:rsidP="003F4346">
      <w:pPr>
        <w:pStyle w:val="ListParagraph"/>
        <w:spacing w:before="100" w:beforeAutospacing="1" w:after="100" w:afterAutospacing="1" w:line="240" w:lineRule="exact"/>
        <w:ind w:left="1440"/>
        <w:rPr>
          <w:rFonts w:ascii="Times New Roman" w:hAnsi="Times New Roman" w:cs="Times New Roman"/>
          <w:color w:val="000066"/>
          <w:sz w:val="24"/>
        </w:rPr>
      </w:pPr>
    </w:p>
    <w:p w:rsidR="003F4346" w:rsidRPr="00C243A6" w:rsidRDefault="00B01D27" w:rsidP="00B01D27">
      <w:pPr>
        <w:pStyle w:val="ListParagraph"/>
        <w:numPr>
          <w:ilvl w:val="1"/>
          <w:numId w:val="1"/>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Serve as a liaison between external auditors and campus departments for regulatory compliance/site visits and summarize the visit/results for the board.  This will ensure that the board is aware of any pending concerns and internal audit can ensure that responses are properly managed in the best interest of the university</w:t>
      </w:r>
      <w:r w:rsidR="003F4346" w:rsidRPr="00C243A6">
        <w:rPr>
          <w:rFonts w:ascii="Times New Roman" w:hAnsi="Times New Roman" w:cs="Times New Roman"/>
          <w:color w:val="000066"/>
          <w:sz w:val="24"/>
        </w:rPr>
        <w:t>.</w:t>
      </w:r>
    </w:p>
    <w:p w:rsidR="003F4346" w:rsidRPr="00C243A6" w:rsidRDefault="003F4346" w:rsidP="003F4346">
      <w:pPr>
        <w:pStyle w:val="ListParagraph"/>
        <w:spacing w:before="100" w:beforeAutospacing="1" w:after="100" w:afterAutospacing="1" w:line="240" w:lineRule="exact"/>
        <w:ind w:left="1440"/>
        <w:rPr>
          <w:rFonts w:ascii="Times New Roman" w:hAnsi="Times New Roman" w:cs="Times New Roman"/>
          <w:color w:val="000066"/>
          <w:sz w:val="24"/>
        </w:rPr>
      </w:pPr>
    </w:p>
    <w:p w:rsidR="00B01D27" w:rsidRPr="00C243A6" w:rsidRDefault="00B01D27" w:rsidP="00B01D27">
      <w:pPr>
        <w:pStyle w:val="ListParagraph"/>
        <w:numPr>
          <w:ilvl w:val="1"/>
          <w:numId w:val="1"/>
        </w:numPr>
        <w:spacing w:before="100" w:beforeAutospacing="1" w:after="100" w:afterAutospacing="1" w:line="240" w:lineRule="exact"/>
        <w:rPr>
          <w:rFonts w:ascii="Times New Roman" w:hAnsi="Times New Roman" w:cs="Times New Roman"/>
          <w:color w:val="000066"/>
          <w:sz w:val="24"/>
        </w:rPr>
      </w:pPr>
      <w:r w:rsidRPr="00C243A6">
        <w:rPr>
          <w:rFonts w:ascii="Times New Roman" w:hAnsi="Times New Roman" w:cs="Times New Roman"/>
          <w:color w:val="000066"/>
          <w:sz w:val="24"/>
        </w:rPr>
        <w:t xml:space="preserve">Remember to include quality assurance, risk assessment/enterprise risk </w:t>
      </w:r>
      <w:r w:rsidR="00FF7D8B" w:rsidRPr="00C243A6">
        <w:rPr>
          <w:rFonts w:ascii="Times New Roman" w:hAnsi="Times New Roman" w:cs="Times New Roman"/>
          <w:color w:val="000066"/>
          <w:sz w:val="24"/>
        </w:rPr>
        <w:t>management</w:t>
      </w:r>
      <w:r w:rsidRPr="00C243A6">
        <w:rPr>
          <w:rFonts w:ascii="Times New Roman" w:hAnsi="Times New Roman" w:cs="Times New Roman"/>
          <w:color w:val="000066"/>
          <w:sz w:val="24"/>
        </w:rPr>
        <w:t>, and information technology in your discussions/presentations.</w:t>
      </w:r>
    </w:p>
    <w:p w:rsidR="00B01D27" w:rsidRPr="00C243A6" w:rsidRDefault="00B01D27" w:rsidP="00B01D27">
      <w:pPr>
        <w:spacing w:before="100" w:beforeAutospacing="1" w:after="100" w:afterAutospacing="1" w:line="240" w:lineRule="exact"/>
        <w:rPr>
          <w:rFonts w:ascii="Times New Roman" w:hAnsi="Times New Roman" w:cs="Times New Roman"/>
          <w:color w:val="000066"/>
          <w:sz w:val="24"/>
          <w:highlight w:val="yellow"/>
        </w:rPr>
      </w:pPr>
    </w:p>
    <w:p w:rsidR="00C016E8" w:rsidRPr="00C243A6" w:rsidRDefault="00C016E8" w:rsidP="00344CDB">
      <w:pPr>
        <w:spacing w:before="100" w:beforeAutospacing="1" w:after="100" w:afterAutospacing="1" w:line="240" w:lineRule="exact"/>
        <w:jc w:val="both"/>
        <w:rPr>
          <w:rFonts w:ascii="Times New Roman" w:hAnsi="Times New Roman" w:cs="Times New Roman"/>
          <w:color w:val="000066"/>
          <w:sz w:val="24"/>
          <w:highlight w:val="yellow"/>
        </w:rPr>
      </w:pPr>
    </w:p>
    <w:sectPr w:rsidR="00C016E8" w:rsidRPr="00C243A6" w:rsidSect="00C27A1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11C" w:rsidRDefault="000A611C" w:rsidP="00602421">
      <w:pPr>
        <w:spacing w:after="0" w:line="240" w:lineRule="auto"/>
      </w:pPr>
      <w:r>
        <w:separator/>
      </w:r>
    </w:p>
  </w:endnote>
  <w:endnote w:type="continuationSeparator" w:id="0">
    <w:p w:rsidR="000A611C" w:rsidRDefault="000A611C" w:rsidP="0060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691087"/>
      <w:docPartObj>
        <w:docPartGallery w:val="Page Numbers (Bottom of Page)"/>
        <w:docPartUnique/>
      </w:docPartObj>
    </w:sdtPr>
    <w:sdtEndPr/>
    <w:sdtContent>
      <w:sdt>
        <w:sdtPr>
          <w:id w:val="-1769616900"/>
          <w:docPartObj>
            <w:docPartGallery w:val="Page Numbers (Top of Page)"/>
            <w:docPartUnique/>
          </w:docPartObj>
        </w:sdtPr>
        <w:sdtEndPr/>
        <w:sdtContent>
          <w:p w:rsidR="00A67A8A" w:rsidRDefault="00A67A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2A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2A34">
              <w:rPr>
                <w:b/>
                <w:bCs/>
                <w:noProof/>
              </w:rPr>
              <w:t>3</w:t>
            </w:r>
            <w:r>
              <w:rPr>
                <w:b/>
                <w:bCs/>
                <w:sz w:val="24"/>
                <w:szCs w:val="24"/>
              </w:rPr>
              <w:fldChar w:fldCharType="end"/>
            </w:r>
          </w:p>
        </w:sdtContent>
      </w:sdt>
    </w:sdtContent>
  </w:sdt>
  <w:p w:rsidR="00A67A8A" w:rsidRDefault="00A6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11C" w:rsidRDefault="000A611C" w:rsidP="00602421">
      <w:pPr>
        <w:spacing w:after="0" w:line="240" w:lineRule="auto"/>
      </w:pPr>
      <w:r>
        <w:separator/>
      </w:r>
    </w:p>
  </w:footnote>
  <w:footnote w:type="continuationSeparator" w:id="0">
    <w:p w:rsidR="000A611C" w:rsidRDefault="000A611C" w:rsidP="0060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34DE0"/>
    <w:multiLevelType w:val="hybridMultilevel"/>
    <w:tmpl w:val="9FE229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80D6E"/>
    <w:multiLevelType w:val="hybridMultilevel"/>
    <w:tmpl w:val="0FCA1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386D76"/>
    <w:multiLevelType w:val="hybridMultilevel"/>
    <w:tmpl w:val="9ADA3A8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A1AB9"/>
    <w:multiLevelType w:val="hybridMultilevel"/>
    <w:tmpl w:val="D89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123B7"/>
    <w:multiLevelType w:val="hybridMultilevel"/>
    <w:tmpl w:val="B2585F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52A5D"/>
    <w:multiLevelType w:val="hybridMultilevel"/>
    <w:tmpl w:val="E196FA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C0"/>
    <w:rsid w:val="00001D4C"/>
    <w:rsid w:val="00023ECC"/>
    <w:rsid w:val="000451ED"/>
    <w:rsid w:val="0009755D"/>
    <w:rsid w:val="000A611C"/>
    <w:rsid w:val="000B740C"/>
    <w:rsid w:val="001421B8"/>
    <w:rsid w:val="0016376F"/>
    <w:rsid w:val="001B3773"/>
    <w:rsid w:val="001F44C2"/>
    <w:rsid w:val="002565AF"/>
    <w:rsid w:val="002631F0"/>
    <w:rsid w:val="002C436C"/>
    <w:rsid w:val="002C743D"/>
    <w:rsid w:val="002F2A34"/>
    <w:rsid w:val="002F3128"/>
    <w:rsid w:val="00344CDB"/>
    <w:rsid w:val="003907F0"/>
    <w:rsid w:val="003D79B7"/>
    <w:rsid w:val="003F4346"/>
    <w:rsid w:val="00422C3C"/>
    <w:rsid w:val="00460A4C"/>
    <w:rsid w:val="00484BA5"/>
    <w:rsid w:val="004B1D9D"/>
    <w:rsid w:val="004D7594"/>
    <w:rsid w:val="004E4D97"/>
    <w:rsid w:val="004E6D58"/>
    <w:rsid w:val="004F529A"/>
    <w:rsid w:val="0050792D"/>
    <w:rsid w:val="00545B16"/>
    <w:rsid w:val="00551975"/>
    <w:rsid w:val="00553D09"/>
    <w:rsid w:val="00562FAF"/>
    <w:rsid w:val="0059201E"/>
    <w:rsid w:val="005A3C40"/>
    <w:rsid w:val="005A47BA"/>
    <w:rsid w:val="005E636E"/>
    <w:rsid w:val="005F03AD"/>
    <w:rsid w:val="00602421"/>
    <w:rsid w:val="00622629"/>
    <w:rsid w:val="00635C1F"/>
    <w:rsid w:val="006402A1"/>
    <w:rsid w:val="00650772"/>
    <w:rsid w:val="00675744"/>
    <w:rsid w:val="006D77CA"/>
    <w:rsid w:val="006F7A5A"/>
    <w:rsid w:val="007220AF"/>
    <w:rsid w:val="007661A3"/>
    <w:rsid w:val="007C4D2E"/>
    <w:rsid w:val="007F0554"/>
    <w:rsid w:val="00830CF2"/>
    <w:rsid w:val="0088167A"/>
    <w:rsid w:val="008E489A"/>
    <w:rsid w:val="009623BA"/>
    <w:rsid w:val="00981E52"/>
    <w:rsid w:val="0098230A"/>
    <w:rsid w:val="009B0AC0"/>
    <w:rsid w:val="009B0DBD"/>
    <w:rsid w:val="009B4019"/>
    <w:rsid w:val="009F2CCF"/>
    <w:rsid w:val="00A27F89"/>
    <w:rsid w:val="00A56AAE"/>
    <w:rsid w:val="00A67A8A"/>
    <w:rsid w:val="00A95F83"/>
    <w:rsid w:val="00AC12C1"/>
    <w:rsid w:val="00AD46D6"/>
    <w:rsid w:val="00AE0DC2"/>
    <w:rsid w:val="00B01095"/>
    <w:rsid w:val="00B01D27"/>
    <w:rsid w:val="00B17741"/>
    <w:rsid w:val="00B9351F"/>
    <w:rsid w:val="00B97432"/>
    <w:rsid w:val="00BB328E"/>
    <w:rsid w:val="00BB74E1"/>
    <w:rsid w:val="00C016E8"/>
    <w:rsid w:val="00C243A6"/>
    <w:rsid w:val="00C27A16"/>
    <w:rsid w:val="00C36851"/>
    <w:rsid w:val="00C400EA"/>
    <w:rsid w:val="00C50944"/>
    <w:rsid w:val="00C80289"/>
    <w:rsid w:val="00CC560F"/>
    <w:rsid w:val="00D163E3"/>
    <w:rsid w:val="00D74258"/>
    <w:rsid w:val="00D7479B"/>
    <w:rsid w:val="00E22C36"/>
    <w:rsid w:val="00E41BCA"/>
    <w:rsid w:val="00E62C75"/>
    <w:rsid w:val="00E8326B"/>
    <w:rsid w:val="00F26FBF"/>
    <w:rsid w:val="00F51216"/>
    <w:rsid w:val="00FA4BCD"/>
    <w:rsid w:val="00FF3E85"/>
    <w:rsid w:val="00FF475C"/>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386C79-F931-485E-B7E6-F978EB6E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C0"/>
    <w:rPr>
      <w:rFonts w:ascii="Tahoma" w:hAnsi="Tahoma" w:cs="Tahoma"/>
      <w:sz w:val="16"/>
      <w:szCs w:val="16"/>
    </w:rPr>
  </w:style>
  <w:style w:type="paragraph" w:styleId="ListParagraph">
    <w:name w:val="List Paragraph"/>
    <w:basedOn w:val="Normal"/>
    <w:uiPriority w:val="34"/>
    <w:qFormat/>
    <w:rsid w:val="00CC560F"/>
    <w:pPr>
      <w:ind w:left="720"/>
      <w:contextualSpacing/>
    </w:pPr>
  </w:style>
  <w:style w:type="character" w:styleId="Hyperlink">
    <w:name w:val="Hyperlink"/>
    <w:basedOn w:val="DefaultParagraphFont"/>
    <w:uiPriority w:val="99"/>
    <w:unhideWhenUsed/>
    <w:rsid w:val="00675744"/>
    <w:rPr>
      <w:color w:val="0000FF" w:themeColor="hyperlink"/>
      <w:u w:val="single"/>
    </w:rPr>
  </w:style>
  <w:style w:type="paragraph" w:styleId="Header">
    <w:name w:val="header"/>
    <w:basedOn w:val="Normal"/>
    <w:link w:val="HeaderChar"/>
    <w:uiPriority w:val="99"/>
    <w:unhideWhenUsed/>
    <w:rsid w:val="0060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421"/>
  </w:style>
  <w:style w:type="paragraph" w:styleId="Footer">
    <w:name w:val="footer"/>
    <w:basedOn w:val="Normal"/>
    <w:link w:val="FooterChar"/>
    <w:uiPriority w:val="99"/>
    <w:unhideWhenUsed/>
    <w:rsid w:val="0060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421"/>
  </w:style>
  <w:style w:type="character" w:styleId="FollowedHyperlink">
    <w:name w:val="FollowedHyperlink"/>
    <w:basedOn w:val="DefaultParagraphFont"/>
    <w:uiPriority w:val="99"/>
    <w:semiHidden/>
    <w:unhideWhenUsed/>
    <w:rsid w:val="00256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theiia.org/about-ia/PublicDocuments/Internal_Auditing-Adding_Value_Across_the_Board.pdf" TargetMode="External"/><Relationship Id="rId18" Type="http://schemas.openxmlformats.org/officeDocument/2006/relationships/hyperlink" Target="https://iaonline.theiia.org/2015/Pages/Gauging-the-Value-of-Internal-Audit.aspx" TargetMode="External"/><Relationship Id="rId3" Type="http://schemas.openxmlformats.org/officeDocument/2006/relationships/styles" Target="styles.xml"/><Relationship Id="rId21" Type="http://schemas.openxmlformats.org/officeDocument/2006/relationships/hyperlink" Target="https://na.theiia.org/periodicals/Public%20Documents/TAT_November_December_2014.pdf" TargetMode="External"/><Relationship Id="rId7" Type="http://schemas.openxmlformats.org/officeDocument/2006/relationships/endnotes" Target="endnotes.xml"/><Relationship Id="rId12" Type="http://schemas.openxmlformats.org/officeDocument/2006/relationships/hyperlink" Target="http://www.acua.org/movie" TargetMode="External"/><Relationship Id="rId17" Type="http://schemas.openxmlformats.org/officeDocument/2006/relationships/hyperlink" Target="https://na.theiia.org/about-ia/PublicDocuments/Building%20Awareness%20Toolkit%20N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theiia.org/about-us/about-ia/Pages/International-Internal-Audit-Awareness-Month.aspx" TargetMode="External"/><Relationship Id="rId20" Type="http://schemas.openxmlformats.org/officeDocument/2006/relationships/hyperlink" Target="https://na.theiia.org/periodicals/Public%20Documents/TaT-February-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a.org/ACUA_Resources/Promoting_Internal_Audit.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aonline.theiia.org/five-classic-myths-about-internal-auditing" TargetMode="External"/><Relationship Id="rId23" Type="http://schemas.openxmlformats.org/officeDocument/2006/relationships/footer" Target="footer1.xml"/><Relationship Id="rId10" Type="http://schemas.openxmlformats.org/officeDocument/2006/relationships/hyperlink" Target="https://na.theiia.org/about-us/about-ia/Pages/frequently-asked-questions.aspx" TargetMode="External"/><Relationship Id="rId19" Type="http://schemas.openxmlformats.org/officeDocument/2006/relationships/hyperlink" Target="https://iaonline.theiia.org/5-resolutions-for-every-internal-auditors-list-in-2015" TargetMode="External"/><Relationship Id="rId4" Type="http://schemas.openxmlformats.org/officeDocument/2006/relationships/settings" Target="settings.xml"/><Relationship Id="rId9" Type="http://schemas.openxmlformats.org/officeDocument/2006/relationships/hyperlink" Target="http://www.acua.org/movie" TargetMode="External"/><Relationship Id="rId14" Type="http://schemas.openxmlformats.org/officeDocument/2006/relationships/hyperlink" Target="https://na.theiia.org/standards-guidance/Public%20Documents/PP%20The%20Three%20Lines%20of%20Defense%20in%20Effective%20Risk%20Management%20and%20Control.pdf" TargetMode="External"/><Relationship Id="rId22" Type="http://schemas.openxmlformats.org/officeDocument/2006/relationships/hyperlink" Target="https://na.theiia.org/periodicals/Public%20Documents/TAT-Jan-Feb-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1A35B-89E8-4E6E-8214-B0490778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ab5088</dc:creator>
  <cp:lastModifiedBy>La Donna Flynn</cp:lastModifiedBy>
  <cp:revision>2</cp:revision>
  <cp:lastPrinted>2016-03-30T18:52:00Z</cp:lastPrinted>
  <dcterms:created xsi:type="dcterms:W3CDTF">2016-03-30T19:23:00Z</dcterms:created>
  <dcterms:modified xsi:type="dcterms:W3CDTF">2016-03-30T19:23:00Z</dcterms:modified>
</cp:coreProperties>
</file>